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hd w:val="clear" w:color="FFFFFF" w:themeColor="background1" w:fill="auto"/>
        <w:kinsoku/>
        <w:wordWrap/>
        <w:overflowPunct w:val="0"/>
        <w:topLinePunct w:val="0"/>
        <w:autoSpaceDE/>
        <w:autoSpaceDN/>
        <w:bidi w:val="0"/>
        <w:adjustRightInd/>
        <w:jc w:val="center"/>
        <w:textAlignment w:val="auto"/>
        <w:rPr>
          <w:rFonts w:hint="eastAsia" w:asciiTheme="minorEastAsia" w:hAnsiTheme="minorEastAsia" w:cstheme="minorEastAsia"/>
          <w:sz w:val="44"/>
          <w:szCs w:val="44"/>
          <w:lang w:val="en-US" w:eastAsia="zh-CN"/>
        </w:rPr>
      </w:pPr>
    </w:p>
    <w:p>
      <w:pPr>
        <w:keepNext w:val="0"/>
        <w:keepLines w:val="0"/>
        <w:pageBreakBefore w:val="0"/>
        <w:shd w:val="clear" w:color="FFFFFF" w:themeColor="background1" w:fill="auto"/>
        <w:kinsoku/>
        <w:wordWrap/>
        <w:overflowPunct w:val="0"/>
        <w:topLinePunct w:val="0"/>
        <w:autoSpaceDE/>
        <w:autoSpaceDN/>
        <w:bidi w:val="0"/>
        <w:adjustRightInd/>
        <w:jc w:val="center"/>
        <w:textAlignment w:val="auto"/>
        <w:rPr>
          <w:rFonts w:hint="default" w:asciiTheme="minorEastAsia" w:hAnsiTheme="minorEastAsia" w:cstheme="minorEastAsia"/>
          <w:sz w:val="44"/>
          <w:szCs w:val="44"/>
          <w:lang w:val="en-US" w:eastAsia="zh-CN"/>
        </w:rPr>
      </w:pPr>
    </w:p>
    <w:p>
      <w:pPr>
        <w:keepNext w:val="0"/>
        <w:keepLines w:val="0"/>
        <w:pageBreakBefore w:val="0"/>
        <w:shd w:val="clear" w:color="FFFFFF" w:themeColor="background1" w:fill="auto"/>
        <w:kinsoku/>
        <w:wordWrap/>
        <w:overflowPunct w:val="0"/>
        <w:topLinePunct w:val="0"/>
        <w:autoSpaceDE/>
        <w:autoSpaceDN/>
        <w:bidi w:val="0"/>
        <w:adjustRightInd/>
        <w:jc w:val="center"/>
        <w:textAlignment w:val="auto"/>
        <w:rPr>
          <w:rFonts w:asciiTheme="minorEastAsia" w:hAnsiTheme="minorEastAsia" w:cstheme="minorEastAsia"/>
          <w:sz w:val="44"/>
          <w:szCs w:val="44"/>
          <w:lang w:val="zh-CN"/>
        </w:rPr>
      </w:pPr>
      <w:r>
        <w:fldChar w:fldCharType="begin"/>
      </w:r>
      <w:r>
        <w:instrText xml:space="preserve"> HYPERLINK "https://www.waizi.org.cn/law/18561.html" \t "_blank" \o "《电力企业信息披露规定》电监会令第14号（全文）" </w:instrText>
      </w:r>
      <w:r>
        <w:fldChar w:fldCharType="separate"/>
      </w:r>
      <w:r>
        <w:rPr>
          <w:rFonts w:hint="eastAsia" w:asciiTheme="minorEastAsia" w:hAnsiTheme="minorEastAsia" w:cstheme="minorEastAsia"/>
          <w:sz w:val="44"/>
          <w:szCs w:val="44"/>
          <w:lang w:val="zh-CN"/>
        </w:rPr>
        <w:t>电力企业信息披露规定</w:t>
      </w:r>
      <w:r>
        <w:rPr>
          <w:rFonts w:hint="eastAsia" w:asciiTheme="minorEastAsia" w:hAnsiTheme="minorEastAsia" w:cstheme="minorEastAsia"/>
          <w:sz w:val="44"/>
          <w:szCs w:val="44"/>
          <w:lang w:val="zh-CN"/>
        </w:rPr>
        <w:fldChar w:fldCharType="end"/>
      </w:r>
    </w:p>
    <w:p>
      <w:pPr>
        <w:keepNext w:val="0"/>
        <w:keepLines w:val="0"/>
        <w:pageBreakBefore w:val="0"/>
        <w:kinsoku/>
        <w:wordWrap/>
        <w:overflowPunct w:val="0"/>
        <w:topLinePunct w:val="0"/>
        <w:autoSpaceDE/>
        <w:autoSpaceDN/>
        <w:bidi w:val="0"/>
        <w:adjustRightInd/>
        <w:ind w:firstLine="640" w:firstLineChars="200"/>
        <w:textAlignment w:val="auto"/>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 xml:space="preserve">(2005年11月30日电监会令第14号发布　自2006年1月1日起施行 </w:t>
      </w:r>
      <w:r>
        <w:rPr>
          <w:rFonts w:ascii="楷体_GB2312" w:hAnsi="楷体_GB2312" w:eastAsia="楷体_GB2312" w:cs="楷体_GB2312"/>
          <w:color w:val="333333"/>
          <w:sz w:val="32"/>
          <w:szCs w:val="32"/>
          <w:shd w:val="clear" w:color="auto" w:fill="FFFFFF"/>
        </w:rPr>
        <w:t xml:space="preserve"> </w:t>
      </w:r>
      <w:r>
        <w:rPr>
          <w:rFonts w:hint="eastAsia" w:ascii="楷体_GB2312" w:hAnsi="楷体_GB2312" w:eastAsia="楷体_GB2312" w:cs="楷体_GB2312"/>
          <w:color w:val="333333"/>
          <w:sz w:val="32"/>
          <w:szCs w:val="32"/>
          <w:shd w:val="clear" w:color="auto" w:fill="FFFFFF"/>
        </w:rPr>
        <w:t>根据</w:t>
      </w:r>
      <w:r>
        <w:rPr>
          <w:rFonts w:hint="eastAsia" w:ascii="楷体_GB2312" w:hAnsi="楷体_GB2312" w:eastAsia="楷体_GB2312"/>
          <w:color w:val="333333"/>
          <w:sz w:val="32"/>
        </w:rPr>
        <w:t>2024年1月4日国家发展改革委令第11号修订</w:t>
      </w:r>
      <w:r>
        <w:rPr>
          <w:rFonts w:hint="eastAsia" w:ascii="楷体_GB2312" w:hAnsi="楷体_GB2312" w:eastAsia="楷体_GB2312" w:cs="楷体_GB2312"/>
          <w:color w:val="333333"/>
          <w:sz w:val="32"/>
          <w:szCs w:val="32"/>
          <w:shd w:val="clear" w:color="auto" w:fill="FFFFFF"/>
        </w:rPr>
        <w:t>)</w:t>
      </w:r>
    </w:p>
    <w:p>
      <w:pPr>
        <w:keepNext w:val="0"/>
        <w:keepLines w:val="0"/>
        <w:pageBreakBefore w:val="0"/>
        <w:kinsoku/>
        <w:wordWrap/>
        <w:overflowPunct w:val="0"/>
        <w:topLinePunct w:val="0"/>
        <w:autoSpaceDE/>
        <w:autoSpaceDN/>
        <w:bidi w:val="0"/>
        <w:adjustRightInd/>
        <w:ind w:firstLine="720" w:firstLineChars="200"/>
        <w:textAlignment w:val="auto"/>
        <w:rPr>
          <w:rFonts w:ascii="楷体_GB2312" w:hAnsi="楷体_GB2312" w:eastAsia="楷体_GB2312" w:cs="楷体_GB2312"/>
          <w:color w:val="333333"/>
          <w:sz w:val="36"/>
          <w:szCs w:val="36"/>
          <w:shd w:val="clear" w:color="auto" w:fill="FFFFFF"/>
        </w:rPr>
      </w:pPr>
    </w:p>
    <w:p>
      <w:pPr>
        <w:keepNext w:val="0"/>
        <w:keepLines w:val="0"/>
        <w:pageBreakBefore w:val="0"/>
        <w:kinsoku/>
        <w:wordWrap/>
        <w:overflowPunct w:val="0"/>
        <w:topLinePunct w:val="0"/>
        <w:autoSpaceDE/>
        <w:autoSpaceDN/>
        <w:bidi w:val="0"/>
        <w:adjustRightInd/>
        <w:ind w:firstLine="640" w:firstLineChars="200"/>
        <w:textAlignment w:val="auto"/>
        <w:rPr>
          <w:rFonts w:hint="eastAsia" w:ascii="仿宋_GB2312" w:hAnsi="仿宋_GB2312" w:eastAsia="仿宋_GB2312" w:cs="仿宋_GB2312"/>
          <w:sz w:val="32"/>
          <w:szCs w:val="32"/>
          <w:shd w:val="clear" w:color="auto" w:fill="FFFFFF"/>
          <w:lang w:val="zh-CN"/>
        </w:rPr>
      </w:pP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fldChar w:fldCharType="begin"/>
      </w:r>
      <w:r>
        <w:rPr>
          <w:rFonts w:ascii="仿宋_GB2312" w:hAnsi="仿宋_GB2312" w:eastAsia="仿宋_GB2312" w:cs="仿宋_GB2312"/>
          <w:sz w:val="32"/>
          <w:szCs w:val="32"/>
          <w:shd w:val="clear" w:color="auto" w:fill="FFFFFF"/>
          <w:lang w:val="zh-CN"/>
        </w:rPr>
        <w:instrText xml:space="preserve"> HYPERLINK "https://www.waizi.org.cn/law/18561.html" \t "_blank" \o "《电力企业信息披露规定》电监会令第14号（全文）" </w:instrText>
      </w:r>
      <w:r>
        <w:rPr>
          <w:rFonts w:ascii="仿宋_GB2312" w:hAnsi="仿宋_GB2312" w:eastAsia="仿宋_GB2312" w:cs="仿宋_GB2312"/>
          <w:sz w:val="32"/>
          <w:szCs w:val="32"/>
          <w:shd w:val="clear" w:color="auto" w:fill="FFFFFF"/>
          <w:lang w:val="zh-CN"/>
        </w:rPr>
        <w:fldChar w:fldCharType="separate"/>
      </w:r>
      <w:r>
        <w:rPr>
          <w:rFonts w:hint="eastAsia" w:ascii="仿宋_GB2312" w:hAnsi="仿宋_GB2312" w:eastAsia="仿宋_GB2312" w:cs="仿宋_GB2312"/>
          <w:sz w:val="32"/>
          <w:szCs w:val="32"/>
          <w:shd w:val="clear" w:color="auto" w:fill="FFFFFF"/>
          <w:lang w:val="zh-CN"/>
        </w:rPr>
        <w:t>电力企业信息披露规定</w:t>
      </w:r>
      <w:r>
        <w:rPr>
          <w:rFonts w:hint="eastAsia" w:ascii="仿宋_GB2312" w:hAnsi="仿宋_GB2312" w:eastAsia="仿宋_GB2312" w:cs="仿宋_GB2312"/>
          <w:sz w:val="32"/>
          <w:szCs w:val="32"/>
          <w:shd w:val="clear" w:color="auto" w:fill="FFFFFF"/>
          <w:lang w:val="zh-CN"/>
        </w:rPr>
        <w:fldChar w:fldCharType="end"/>
      </w:r>
      <w:r>
        <w:rPr>
          <w:rFonts w:hint="eastAsia" w:ascii="仿宋_GB2312" w:hAnsi="仿宋_GB2312" w:eastAsia="仿宋_GB2312" w:cs="仿宋_GB2312"/>
          <w:sz w:val="32"/>
          <w:szCs w:val="32"/>
          <w:shd w:val="clear" w:color="auto" w:fill="FFFFFF"/>
          <w:lang w:val="zh-CN"/>
        </w:rPr>
        <w:t>》已经2005年11月9日国家电力监管委员会第八次主席办公会议通过，现予公布，自2006年1月1日起施行。</w:t>
      </w:r>
    </w:p>
    <w:p>
      <w:pPr>
        <w:keepNext w:val="0"/>
        <w:keepLines w:val="0"/>
        <w:pageBreakBefore w:val="0"/>
        <w:kinsoku/>
        <w:wordWrap/>
        <w:overflowPunct w:val="0"/>
        <w:topLinePunct w:val="0"/>
        <w:autoSpaceDE/>
        <w:autoSpaceDN/>
        <w:bidi w:val="0"/>
        <w:adjustRightInd/>
        <w:ind w:firstLine="640" w:firstLineChars="200"/>
        <w:textAlignment w:val="auto"/>
        <w:rPr>
          <w:rFonts w:hint="eastAsia" w:ascii="仿宋_GB2312" w:hAnsi="仿宋_GB2312" w:eastAsia="仿宋_GB2312" w:cs="仿宋_GB2312"/>
          <w:sz w:val="32"/>
          <w:szCs w:val="32"/>
          <w:shd w:val="clear" w:color="auto" w:fill="FFFFFF"/>
          <w:lang w:val="zh-CN"/>
        </w:rPr>
      </w:pPr>
    </w:p>
    <w:p>
      <w:pPr>
        <w:keepNext w:val="0"/>
        <w:keepLines w:val="0"/>
        <w:pageBreakBefore w:val="0"/>
        <w:kinsoku/>
        <w:wordWrap/>
        <w:overflowPunct w:val="0"/>
        <w:topLinePunct w:val="0"/>
        <w:autoSpaceDE/>
        <w:autoSpaceDN/>
        <w:bidi w:val="0"/>
        <w:adjustRightInd/>
        <w:jc w:val="right"/>
        <w:textAlignment w:val="auto"/>
        <w:rPr>
          <w:rFonts w:hint="eastAsia" w:ascii="仿宋_GB2312" w:hAnsi="仿宋_GB2312" w:eastAsia="仿宋_GB2312" w:cs="仿宋_GB2312"/>
          <w:sz w:val="32"/>
          <w:szCs w:val="32"/>
          <w:shd w:val="clear" w:color="auto" w:fill="FFFFFF"/>
          <w:lang w:val="zh-CN"/>
        </w:rPr>
      </w:pPr>
      <w:r>
        <w:rPr>
          <w:rFonts w:hint="eastAsia" w:ascii="仿宋_GB2312" w:hAnsi="仿宋_GB2312" w:eastAsia="仿宋_GB2312" w:cs="仿宋_GB2312"/>
          <w:sz w:val="32"/>
          <w:szCs w:val="32"/>
          <w:shd w:val="clear" w:color="auto" w:fill="FFFFFF"/>
          <w:lang w:val="zh-CN"/>
        </w:rPr>
        <w:t>二</w:t>
      </w:r>
      <w:r>
        <w:rPr>
          <w:rFonts w:hint="eastAsia" w:ascii="仿宋_GB2312" w:hAnsi="仿宋_GB2312" w:eastAsia="仿宋_GB2312" w:cs="仿宋_GB2312"/>
          <w:sz w:val="32"/>
          <w:szCs w:val="32"/>
          <w:shd w:val="clear" w:color="auto" w:fill="FFFFFF"/>
          <w:lang w:val="zh-CN" w:eastAsia="zh-CN"/>
        </w:rPr>
        <w:t>〇〇</w:t>
      </w:r>
      <w:r>
        <w:rPr>
          <w:rFonts w:hint="eastAsia" w:ascii="仿宋_GB2312" w:hAnsi="仿宋_GB2312" w:eastAsia="仿宋_GB2312" w:cs="仿宋_GB2312"/>
          <w:sz w:val="32"/>
          <w:szCs w:val="32"/>
          <w:shd w:val="clear" w:color="auto" w:fill="FFFFFF"/>
          <w:lang w:val="zh-CN"/>
        </w:rPr>
        <w:t>五年</w:t>
      </w:r>
      <w:r>
        <w:rPr>
          <w:rFonts w:hint="eastAsia" w:ascii="仿宋_GB2312" w:hAnsi="仿宋_GB2312" w:eastAsia="仿宋_GB2312" w:cs="仿宋_GB2312"/>
          <w:sz w:val="32"/>
          <w:szCs w:val="32"/>
          <w:shd w:val="clear" w:color="auto" w:fill="FFFFFF"/>
          <w:lang w:val="en-US" w:eastAsia="zh-CN"/>
        </w:rPr>
        <w:t>十一</w:t>
      </w:r>
      <w:r>
        <w:rPr>
          <w:rFonts w:hint="eastAsia" w:ascii="仿宋_GB2312" w:hAnsi="仿宋_GB2312" w:eastAsia="仿宋_GB2312" w:cs="仿宋_GB2312"/>
          <w:sz w:val="32"/>
          <w:szCs w:val="32"/>
          <w:shd w:val="clear" w:color="auto" w:fill="FFFFFF"/>
          <w:lang w:val="zh-CN"/>
        </w:rPr>
        <w:t>月</w:t>
      </w:r>
      <w:r>
        <w:rPr>
          <w:rFonts w:hint="eastAsia" w:ascii="仿宋_GB2312" w:hAnsi="仿宋_GB2312" w:eastAsia="仿宋_GB2312" w:cs="仿宋_GB2312"/>
          <w:sz w:val="32"/>
          <w:szCs w:val="32"/>
          <w:shd w:val="clear" w:color="auto" w:fill="FFFFFF"/>
          <w:lang w:val="en-US" w:eastAsia="zh-CN"/>
        </w:rPr>
        <w:t>三十</w:t>
      </w:r>
      <w:r>
        <w:rPr>
          <w:rFonts w:hint="eastAsia" w:ascii="仿宋_GB2312" w:hAnsi="仿宋_GB2312" w:eastAsia="仿宋_GB2312" w:cs="仿宋_GB2312"/>
          <w:sz w:val="32"/>
          <w:szCs w:val="32"/>
          <w:shd w:val="clear" w:color="auto" w:fill="FFFFFF"/>
          <w:lang w:val="zh-CN"/>
        </w:rPr>
        <w:t>日</w:t>
      </w: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jc w:val="right"/>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kinsoku/>
        <w:wordWrap/>
        <w:overflowPunct w:val="0"/>
        <w:topLinePunct w:val="0"/>
        <w:autoSpaceDE/>
        <w:autoSpaceDN/>
        <w:bidi w:val="0"/>
        <w:adjustRightInd/>
        <w:jc w:val="center"/>
        <w:textAlignment w:val="auto"/>
        <w:rPr>
          <w:rFonts w:hint="eastAsia" w:asciiTheme="minorEastAsia" w:hAnsiTheme="minorEastAsia" w:cstheme="minorEastAsia"/>
          <w:sz w:val="44"/>
          <w:szCs w:val="44"/>
          <w:lang w:val="zh-CN"/>
        </w:rPr>
      </w:pPr>
      <w:r>
        <w:fldChar w:fldCharType="begin"/>
      </w:r>
      <w:r>
        <w:instrText xml:space="preserve"> HYPERLINK "https://www.waizi.org.cn/law/18561.html" \t "_blank" \o "《电力企业信息披露规定》电监会令第14号（全文）" </w:instrText>
      </w:r>
      <w:r>
        <w:fldChar w:fldCharType="separate"/>
      </w:r>
      <w:r>
        <w:rPr>
          <w:rFonts w:hint="eastAsia" w:asciiTheme="minorEastAsia" w:hAnsiTheme="minorEastAsia" w:cstheme="minorEastAsia"/>
          <w:sz w:val="44"/>
          <w:szCs w:val="44"/>
          <w:lang w:val="zh-CN"/>
        </w:rPr>
        <w:t>电力企业信息披露规定</w:t>
      </w:r>
      <w:r>
        <w:rPr>
          <w:rFonts w:hint="eastAsia" w:asciiTheme="minorEastAsia" w:hAnsiTheme="minorEastAsia" w:cstheme="minorEastAsia"/>
          <w:sz w:val="44"/>
          <w:szCs w:val="44"/>
          <w:lang w:val="zh-CN"/>
        </w:rPr>
        <w:fldChar w:fldCharType="end"/>
      </w:r>
    </w:p>
    <w:p>
      <w:pPr>
        <w:keepNext w:val="0"/>
        <w:keepLines w:val="0"/>
        <w:pageBreakBefore w:val="0"/>
        <w:kinsoku/>
        <w:wordWrap/>
        <w:overflowPunct w:val="0"/>
        <w:topLinePunct w:val="0"/>
        <w:autoSpaceDE/>
        <w:autoSpaceDN/>
        <w:bidi w:val="0"/>
        <w:adjustRightInd/>
        <w:ind w:firstLine="880" w:firstLineChars="200"/>
        <w:jc w:val="center"/>
        <w:textAlignment w:val="auto"/>
        <w:rPr>
          <w:rFonts w:hint="eastAsia" w:asciiTheme="minorEastAsia" w:hAnsiTheme="minorEastAsia" w:cstheme="minorEastAsia"/>
          <w:sz w:val="44"/>
          <w:szCs w:val="44"/>
          <w:lang w:val="zh-CN"/>
        </w:rPr>
      </w:pP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jc w:val="center"/>
        <w:textAlignment w:val="auto"/>
        <w:rPr>
          <w:rStyle w:val="9"/>
          <w:rFonts w:ascii="黑体" w:hAnsi="黑体" w:eastAsia="黑体" w:cs="黑体"/>
          <w:b w:val="0"/>
          <w:bCs/>
          <w:color w:val="000000"/>
          <w:sz w:val="32"/>
          <w:szCs w:val="32"/>
          <w:shd w:val="clear" w:color="auto" w:fill="FFFFFF"/>
        </w:rPr>
      </w:pPr>
      <w:r>
        <w:rPr>
          <w:rStyle w:val="9"/>
          <w:rFonts w:hint="eastAsia" w:ascii="黑体" w:hAnsi="黑体" w:eastAsia="黑体" w:cs="黑体"/>
          <w:b w:val="0"/>
          <w:bCs/>
          <w:color w:val="000000"/>
          <w:sz w:val="32"/>
          <w:szCs w:val="32"/>
          <w:shd w:val="clear" w:color="auto" w:fill="FFFFFF"/>
        </w:rPr>
        <w:t xml:space="preserve">第一章 </w:t>
      </w:r>
      <w:r>
        <w:rPr>
          <w:rStyle w:val="9"/>
          <w:rFonts w:ascii="黑体" w:hAnsi="黑体" w:eastAsia="黑体" w:cs="黑体"/>
          <w:b w:val="0"/>
          <w:bCs/>
          <w:color w:val="000000"/>
          <w:sz w:val="32"/>
          <w:szCs w:val="32"/>
          <w:shd w:val="clear" w:color="auto" w:fill="FFFFFF"/>
        </w:rPr>
        <w:t>总</w:t>
      </w:r>
      <w:r>
        <w:rPr>
          <w:rStyle w:val="9"/>
          <w:rFonts w:hint="eastAsia" w:ascii="黑体" w:hAnsi="黑体" w:eastAsia="黑体" w:cs="黑体"/>
          <w:b w:val="0"/>
          <w:bCs/>
          <w:color w:val="000000"/>
          <w:sz w:val="32"/>
          <w:szCs w:val="32"/>
          <w:shd w:val="clear" w:color="auto" w:fill="FFFFFF"/>
        </w:rPr>
        <w:t xml:space="preserve">  </w:t>
      </w:r>
      <w:r>
        <w:rPr>
          <w:rStyle w:val="9"/>
          <w:rFonts w:ascii="黑体" w:hAnsi="黑体" w:eastAsia="黑体" w:cs="黑体"/>
          <w:b w:val="0"/>
          <w:bCs/>
          <w:color w:val="000000"/>
          <w:sz w:val="32"/>
          <w:szCs w:val="32"/>
          <w:shd w:val="clear" w:color="auto" w:fill="FFFFFF"/>
        </w:rPr>
        <w:t>则</w:t>
      </w: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jc w:val="center"/>
        <w:textAlignment w:val="auto"/>
        <w:rPr>
          <w:rStyle w:val="9"/>
          <w:rFonts w:ascii="Times New Roman" w:hAnsi="Times New Roman" w:eastAsia="仿宋_GB2312"/>
          <w:color w:val="000000"/>
          <w:sz w:val="32"/>
          <w:szCs w:val="32"/>
          <w:shd w:val="clear" w:color="auto" w:fill="FFFFFF"/>
        </w:rPr>
      </w:pP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第一条</w:t>
      </w:r>
      <w:r>
        <w:rPr>
          <w:rFonts w:ascii="仿宋_GB2312" w:hAnsi="仿宋_GB2312" w:eastAsia="仿宋_GB2312" w:cs="仿宋_GB2312"/>
          <w:sz w:val="32"/>
          <w:szCs w:val="32"/>
          <w:shd w:val="clear" w:color="auto" w:fill="FFFFFF"/>
          <w:lang w:val="zh-CN"/>
        </w:rPr>
        <w:t>　为了加强电力监管，规范电力企业、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的信息披露行为，维护电力市场秩序，根据《电力监管条例》，制定本规定。</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第二条</w:t>
      </w:r>
      <w:r>
        <w:rPr>
          <w:rFonts w:ascii="仿宋_GB2312" w:hAnsi="仿宋_GB2312" w:eastAsia="仿宋_GB2312" w:cs="仿宋_GB2312"/>
          <w:sz w:val="32"/>
          <w:szCs w:val="32"/>
          <w:shd w:val="clear" w:color="auto" w:fill="FFFFFF"/>
          <w:lang w:val="zh-CN"/>
        </w:rPr>
        <w:t>　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披露有关电力建设、生产、经营、价格和服务等方面的信息，适用本规定。</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第三条</w:t>
      </w:r>
      <w:r>
        <w:rPr>
          <w:rFonts w:ascii="仿宋_GB2312" w:hAnsi="仿宋_GB2312" w:eastAsia="仿宋_GB2312" w:cs="仿宋_GB2312"/>
          <w:sz w:val="32"/>
          <w:szCs w:val="32"/>
          <w:shd w:val="clear" w:color="auto" w:fill="FFFFFF"/>
          <w:lang w:val="zh-CN"/>
        </w:rPr>
        <w:t>　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披露信息遵循真实、及时、透明的原则。</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第四条</w:t>
      </w:r>
      <w:r>
        <w:rPr>
          <w:rFonts w:ascii="仿宋_GB2312" w:hAnsi="仿宋_GB2312" w:eastAsia="仿宋_GB2312" w:cs="仿宋_GB2312"/>
          <w:sz w:val="32"/>
          <w:szCs w:val="32"/>
          <w:shd w:val="clear" w:color="auto" w:fill="FFFFFF"/>
          <w:lang w:val="zh-CN"/>
        </w:rPr>
        <w:t>　</w:t>
      </w:r>
      <w:r>
        <w:rPr>
          <w:rFonts w:hint="eastAsia" w:ascii="仿宋_GB2312" w:hAnsi="仿宋_GB2312" w:eastAsia="仿宋_GB2312" w:cs="仿宋_GB2312"/>
          <w:sz w:val="32"/>
          <w:szCs w:val="32"/>
          <w:shd w:val="clear" w:color="auto" w:fill="FFFFFF"/>
          <w:lang w:val="zh-CN"/>
        </w:rPr>
        <w:t>国家能源局</w:t>
      </w:r>
      <w:r>
        <w:rPr>
          <w:rFonts w:ascii="仿宋_GB2312" w:hAnsi="仿宋_GB2312" w:eastAsia="仿宋_GB2312" w:cs="仿宋_GB2312"/>
          <w:sz w:val="32"/>
          <w:szCs w:val="32"/>
          <w:shd w:val="clear" w:color="auto" w:fill="FFFFFF"/>
          <w:lang w:val="zh-CN"/>
        </w:rPr>
        <w:t>及其派出机构（以下简称电力监管机构）对电力企业、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如实披露有关信息的情况实施监管。</w:t>
      </w: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ind w:firstLine="360"/>
        <w:jc w:val="both"/>
        <w:textAlignment w:val="auto"/>
        <w:rPr>
          <w:rFonts w:ascii="Times New Roman" w:hAnsi="Times New Roman" w:eastAsia="仿宋_GB2312"/>
          <w:color w:val="000000"/>
          <w:sz w:val="32"/>
          <w:szCs w:val="32"/>
          <w:shd w:val="clear" w:color="auto" w:fill="FFFFFF"/>
        </w:rPr>
      </w:pP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jc w:val="center"/>
        <w:textAlignment w:val="auto"/>
        <w:rPr>
          <w:rStyle w:val="9"/>
          <w:rFonts w:ascii="黑体" w:hAnsi="黑体" w:eastAsia="黑体" w:cs="黑体"/>
          <w:b w:val="0"/>
          <w:bCs/>
          <w:color w:val="000000"/>
          <w:sz w:val="32"/>
          <w:szCs w:val="32"/>
          <w:shd w:val="clear" w:color="auto" w:fill="FFFFFF"/>
        </w:rPr>
      </w:pPr>
      <w:r>
        <w:rPr>
          <w:rStyle w:val="9"/>
          <w:rFonts w:hint="eastAsia" w:ascii="黑体" w:hAnsi="黑体" w:eastAsia="黑体" w:cs="黑体"/>
          <w:b w:val="0"/>
          <w:bCs/>
          <w:color w:val="000000"/>
          <w:sz w:val="32"/>
          <w:szCs w:val="32"/>
          <w:shd w:val="clear" w:color="auto" w:fill="FFFFFF"/>
        </w:rPr>
        <w:t xml:space="preserve">第二章 </w:t>
      </w:r>
      <w:r>
        <w:rPr>
          <w:rStyle w:val="9"/>
          <w:rFonts w:ascii="黑体" w:hAnsi="黑体" w:eastAsia="黑体" w:cs="黑体"/>
          <w:b w:val="0"/>
          <w:bCs/>
          <w:color w:val="000000"/>
          <w:sz w:val="32"/>
          <w:szCs w:val="32"/>
          <w:shd w:val="clear" w:color="auto" w:fill="FFFFFF"/>
        </w:rPr>
        <w:t>披露内容</w:t>
      </w: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jc w:val="both"/>
        <w:textAlignment w:val="auto"/>
        <w:rPr>
          <w:rStyle w:val="9"/>
          <w:rFonts w:ascii="Times New Roman" w:hAnsi="Times New Roman" w:eastAsia="仿宋_GB2312"/>
          <w:color w:val="000000"/>
          <w:sz w:val="32"/>
          <w:szCs w:val="32"/>
          <w:shd w:val="clear" w:color="auto" w:fill="FFFFFF"/>
        </w:rPr>
      </w:pP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hint="eastAsia" w:ascii="黑体" w:hAnsi="黑体" w:eastAsia="黑体" w:cs="黑体"/>
          <w:color w:val="000000"/>
          <w:sz w:val="32"/>
          <w:szCs w:val="32"/>
          <w:shd w:val="clear" w:color="auto" w:fill="FFFFFF"/>
        </w:rPr>
        <w:t xml:space="preserve">  </w:t>
      </w:r>
      <w:r>
        <w:rPr>
          <w:rFonts w:ascii="黑体" w:hAnsi="黑体" w:eastAsia="黑体" w:cs="黑体"/>
          <w:color w:val="000000"/>
          <w:kern w:val="0"/>
          <w:sz w:val="32"/>
          <w:szCs w:val="32"/>
          <w:shd w:val="clear" w:color="auto" w:fill="FFFFFF"/>
          <w:lang w:val="zh-CN" w:bidi="ar"/>
        </w:rPr>
        <w:t>第五条　</w:t>
      </w:r>
      <w:r>
        <w:rPr>
          <w:rFonts w:ascii="仿宋_GB2312" w:hAnsi="仿宋_GB2312" w:eastAsia="仿宋_GB2312" w:cs="仿宋_GB2312"/>
          <w:sz w:val="32"/>
          <w:szCs w:val="32"/>
          <w:shd w:val="clear" w:color="auto" w:fill="FFFFFF"/>
          <w:lang w:val="zh-CN"/>
        </w:rPr>
        <w:t>从事发电业务的企业应当向</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披露下列信息：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（一）发电机组基础参数</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（二）新增或者退役发电机组、装机容量</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（三）机组运行检修情况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（四）机组设备改造情况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（五）火电厂燃料情况或者水电厂来水情况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（六）电力市场运行规则要求披露的信息</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（七）电力监管机构要求披露的其他信息。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hint="eastAsia" w:ascii="黑体" w:hAnsi="黑体" w:eastAsia="黑体" w:cs="黑体"/>
          <w:color w:val="000000"/>
          <w:kern w:val="0"/>
          <w:sz w:val="32"/>
          <w:szCs w:val="32"/>
          <w:shd w:val="clear" w:color="auto" w:fill="FFFFFF"/>
          <w:lang w:bidi="ar"/>
        </w:rPr>
        <w:t xml:space="preserve"> </w:t>
      </w:r>
      <w:r>
        <w:rPr>
          <w:rFonts w:ascii="黑体" w:hAnsi="黑体" w:eastAsia="黑体" w:cs="黑体"/>
          <w:color w:val="000000"/>
          <w:kern w:val="0"/>
          <w:sz w:val="32"/>
          <w:szCs w:val="32"/>
          <w:shd w:val="clear" w:color="auto" w:fill="FFFFFF"/>
          <w:lang w:val="zh-CN" w:bidi="ar"/>
        </w:rPr>
        <w:t>第六条　</w:t>
      </w:r>
      <w:r>
        <w:rPr>
          <w:rFonts w:ascii="仿宋_GB2312" w:hAnsi="仿宋_GB2312" w:eastAsia="仿宋_GB2312" w:cs="仿宋_GB2312"/>
          <w:sz w:val="32"/>
          <w:szCs w:val="32"/>
          <w:shd w:val="clear" w:color="auto" w:fill="FFFFFF"/>
          <w:lang w:val="zh-CN"/>
        </w:rPr>
        <w:t>从事输电业务的企业应当向从事发电业务的企业披露下列信息：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（一）输电网结构情况，输电线路和变电站规划、建设、投产的情况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（二）电网内各类发电装机规模及明细</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（三）网内负荷和大用户负荷的情况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（四）电力供需情况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（五）主要输电通道的构成和关键断面的输电能力，网内发电厂送出线的输电能力</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（六）输变电设备检修计划和检修执行情况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（七）电力安全生产情况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（八）输电损耗情况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（九）国家批准的输电电价</w:t>
      </w: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t>跨区域、跨省（自治区、直辖市）电能交易输电电价</w:t>
      </w: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t>大用户直购电输配电价</w:t>
      </w: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t>国家批准的收费标准</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（十）发电机组、直接供电用户并网接入情况，电网互联情况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Times New Roman" w:hAnsi="Times New Roman" w:eastAsia="仿宋_GB2312" w:cs="Times New Roman"/>
          <w:color w:val="000000"/>
          <w:sz w:val="32"/>
          <w:szCs w:val="32"/>
          <w:shd w:val="clear" w:color="auto" w:fill="FFFFFF"/>
        </w:rPr>
      </w:pPr>
      <w:r>
        <w:rPr>
          <w:rFonts w:ascii="仿宋_GB2312" w:hAnsi="仿宋_GB2312" w:eastAsia="仿宋_GB2312" w:cs="仿宋_GB2312"/>
          <w:sz w:val="32"/>
          <w:szCs w:val="32"/>
          <w:shd w:val="clear" w:color="auto" w:fill="FFFFFF"/>
          <w:lang w:val="zh-CN"/>
        </w:rPr>
        <w:t>（十一）电力监管机构要求披露的其他信息。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第七条</w:t>
      </w:r>
      <w:r>
        <w:rPr>
          <w:rFonts w:ascii="仿宋_GB2312" w:hAnsi="仿宋_GB2312" w:eastAsia="仿宋_GB2312" w:cs="仿宋_GB2312"/>
          <w:sz w:val="32"/>
          <w:szCs w:val="32"/>
          <w:shd w:val="clear" w:color="auto" w:fill="FFFFFF"/>
          <w:lang w:val="zh-CN"/>
        </w:rPr>
        <w:t>　从事供电业务的企业应当向电力用户披露下列信息：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（一）国家规定的供电质量标准</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（二）国家批准的配电电价、销售电价和收费标准</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（三）用电业务的办理程序</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（四）停电、限电和事故抢修处理情况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（五）用电投诉处理情况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（六）电力监管机构要求披露的其他信息。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第八条</w:t>
      </w:r>
      <w:r>
        <w:rPr>
          <w:rFonts w:ascii="仿宋_GB2312" w:hAnsi="仿宋_GB2312" w:eastAsia="仿宋_GB2312" w:cs="仿宋_GB2312"/>
          <w:sz w:val="32"/>
          <w:szCs w:val="32"/>
          <w:shd w:val="clear" w:color="auto" w:fill="FFFFFF"/>
          <w:lang w:val="zh-CN"/>
        </w:rPr>
        <w:t>　</w:t>
      </w:r>
      <w:r>
        <w:rPr>
          <w:rFonts w:hint="eastAsia" w:ascii="仿宋_GB2312" w:hAnsi="仿宋_GB2312" w:eastAsia="仿宋_GB2312" w:cs="仿宋_GB2312"/>
          <w:sz w:val="32"/>
          <w:szCs w:val="32"/>
          <w:shd w:val="clear" w:color="auto" w:fill="FFFFFF"/>
          <w:lang w:val="zh-CN"/>
        </w:rPr>
        <w:t>电力调度机构</w:t>
      </w:r>
      <w:r>
        <w:rPr>
          <w:rFonts w:ascii="仿宋_GB2312" w:hAnsi="仿宋_GB2312" w:eastAsia="仿宋_GB2312" w:cs="仿宋_GB2312"/>
          <w:sz w:val="32"/>
          <w:szCs w:val="32"/>
          <w:shd w:val="clear" w:color="auto" w:fill="FFFFFF"/>
          <w:lang w:val="zh-CN"/>
        </w:rPr>
        <w:t>应当向从事发电业务的企业披露下列信息：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（一）电网结构情况，并网运行机组技术性能等基础资料，新建或者改建发电设备、输电设备投产运行情况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（二）电网安全运行的主要约束条件，电网重要运行方式的变化情况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（三）发电设备、重要输变电设备的检修计划和执行情况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（四）年度电力电量需求预测和电网中长期运行方式，电网年度分月负荷预测</w:t>
      </w: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t>电网总发电量、最高最低负荷和负荷变化情况</w:t>
      </w: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t>年、季、月发电量计划安排和执行情况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（五）跨区域、跨省（自治区、 直辖市）电力电量交换年、季、月计划及执行情况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（六）并网发电厂机组的上网电量、年度合同电量和其他电量完成情况，发电利用小时数</w:t>
      </w: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t>实行峰谷分时电价的，各机组峰、谷、平段发电量情况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（七）并网发电厂执行调度指令、调度纪律情况，发电机组非计划停运情况，提供调峰、调频、无功调节、备用等辅助服务的情况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（八）并网发电厂运行考核情况，考核所得电量、资金的使用情况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（九）电力市场运行</w:t>
      </w:r>
      <w:r>
        <w:rPr>
          <w:rFonts w:hint="eastAsia" w:ascii="仿宋_GB2312" w:hAnsi="仿宋_GB2312" w:eastAsia="仿宋_GB2312" w:cs="仿宋_GB2312"/>
          <w:sz w:val="32"/>
          <w:szCs w:val="32"/>
          <w:shd w:val="clear" w:color="auto" w:fill="FFFFFF"/>
          <w:lang w:val="zh-CN"/>
        </w:rPr>
        <w:t>基本</w:t>
      </w:r>
      <w:r>
        <w:rPr>
          <w:rFonts w:ascii="仿宋_GB2312" w:hAnsi="仿宋_GB2312" w:eastAsia="仿宋_GB2312" w:cs="仿宋_GB2312"/>
          <w:sz w:val="32"/>
          <w:szCs w:val="32"/>
          <w:shd w:val="clear" w:color="auto" w:fill="FFFFFF"/>
          <w:lang w:val="zh-CN"/>
        </w:rPr>
        <w:t>规则要求披露的有关信息</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（十）电力监管机构要求披露的其他信息。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第九条</w:t>
      </w:r>
      <w:r>
        <w:rPr>
          <w:rFonts w:ascii="仿宋_GB2312" w:hAnsi="仿宋_GB2312" w:eastAsia="仿宋_GB2312" w:cs="仿宋_GB2312"/>
          <w:sz w:val="32"/>
          <w:szCs w:val="32"/>
          <w:shd w:val="clear" w:color="auto" w:fill="FFFFFF"/>
          <w:lang w:val="zh-CN"/>
        </w:rPr>
        <w:t>　电力交易机构应当向从事发电业务的企业披露下列信息：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（一）电力市场规则、电力市场交易制度等信息</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（二）市场暂停、中止、重新启动等情况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（三）市场日历、交易公告信息</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（四）市场注册和管理情况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（五）各类合同电量的交易组织、执行和结算情况，偏差电量考核以及有关费用分摊、返还情况</w:t>
      </w:r>
      <w:r>
        <w:rPr>
          <w:rFonts w:hint="eastAsia" w:ascii="仿宋_GB2312" w:hAnsi="仿宋_GB2312" w:eastAsia="仿宋_GB2312" w:cs="仿宋_GB2312"/>
          <w:sz w:val="32"/>
          <w:szCs w:val="32"/>
          <w:shd w:val="clear" w:color="auto" w:fill="FFFFFF"/>
          <w:lang w:val="zh-CN"/>
        </w:rPr>
        <w:t>，电网代理购电情况；</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（六）并网发电主体上网电量、发电利用小时数情况，电量结算依据和服务提供情况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（七）跨区域、跨省（自治区、直辖市）电力电量交换、电价执行和费用结算情况</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（八）其他公告信息，包括信息披露报告、违规行为通报、市场干预情况等</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（九）电力市场运行规则要求披露的有关信息</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（十）电力监管机构要求披露的其他信息。</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w:t>
      </w:r>
      <w:r>
        <w:rPr>
          <w:rFonts w:hint="eastAsia" w:ascii="黑体" w:hAnsi="黑体" w:eastAsia="黑体" w:cs="黑体"/>
          <w:color w:val="000000"/>
          <w:kern w:val="0"/>
          <w:sz w:val="32"/>
          <w:szCs w:val="32"/>
          <w:shd w:val="clear" w:color="auto" w:fill="FFFFFF"/>
          <w:lang w:bidi="ar"/>
        </w:rPr>
        <w:t>十</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电力监管机构根据监管工作的需要适时调整电力企业、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披露信息的范围和内容。</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jc w:val="center"/>
        <w:textAlignment w:val="auto"/>
        <w:rPr>
          <w:rStyle w:val="9"/>
          <w:rFonts w:ascii="黑体" w:hAnsi="黑体" w:eastAsia="黑体" w:cs="黑体"/>
          <w:b w:val="0"/>
          <w:bCs/>
          <w:color w:val="000000"/>
          <w:sz w:val="32"/>
          <w:szCs w:val="32"/>
          <w:shd w:val="clear" w:color="auto" w:fill="FFFFFF"/>
          <w:lang w:val="zh-CN"/>
        </w:rPr>
      </w:pPr>
      <w:r>
        <w:rPr>
          <w:rStyle w:val="9"/>
          <w:rFonts w:hint="eastAsia" w:ascii="黑体" w:hAnsi="黑体" w:eastAsia="黑体" w:cs="黑体"/>
          <w:b w:val="0"/>
          <w:bCs/>
          <w:color w:val="000000"/>
          <w:sz w:val="32"/>
          <w:szCs w:val="32"/>
          <w:shd w:val="clear" w:color="auto" w:fill="FFFFFF"/>
        </w:rPr>
        <w:t xml:space="preserve">第三章 </w:t>
      </w:r>
      <w:r>
        <w:rPr>
          <w:rStyle w:val="9"/>
          <w:rFonts w:ascii="黑体" w:hAnsi="黑体" w:eastAsia="黑体" w:cs="黑体"/>
          <w:b w:val="0"/>
          <w:bCs/>
          <w:color w:val="000000"/>
          <w:sz w:val="32"/>
          <w:szCs w:val="32"/>
          <w:shd w:val="clear" w:color="auto" w:fill="FFFFFF"/>
          <w:lang w:val="zh-CN"/>
        </w:rPr>
        <w:t>披露方式</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一</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电力监管机构根据电力企业、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披露信息的范围和内容，确定相应的披露方式和期限。</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二</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披露信息可以采取下列方式：</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（一）门户网站</w:t>
      </w:r>
      <w:r>
        <w:rPr>
          <w:rFonts w:hint="eastAsia" w:ascii="仿宋_GB2312" w:hAnsi="仿宋_GB2312" w:eastAsia="仿宋_GB2312" w:cs="仿宋_GB2312"/>
          <w:sz w:val="32"/>
          <w:szCs w:val="32"/>
          <w:shd w:val="clear" w:color="auto" w:fill="FFFFFF"/>
        </w:rPr>
        <w:t>及其子网站</w:t>
      </w:r>
      <w:r>
        <w:rPr>
          <w:rFonts w:hint="eastAsia" w:ascii="仿宋_GB2312" w:hAnsi="仿宋_GB2312" w:eastAsia="仿宋_GB2312" w:cs="仿宋_GB2312"/>
          <w:sz w:val="32"/>
          <w:szCs w:val="32"/>
          <w:shd w:val="clear" w:color="auto" w:fill="FFFFFF"/>
          <w:lang w:val="zh-CN"/>
        </w:rPr>
        <w:t>，</w:t>
      </w:r>
      <w:bookmarkStart w:id="0" w:name="_GoBack"/>
      <w:bookmarkEnd w:id="0"/>
      <w:r>
        <w:rPr>
          <w:rFonts w:ascii="仿宋_GB2312" w:hAnsi="仿宋_GB2312" w:eastAsia="仿宋_GB2312" w:cs="仿宋_GB2312"/>
          <w:sz w:val="32"/>
          <w:szCs w:val="32"/>
          <w:shd w:val="clear" w:color="auto" w:fill="FFFFFF"/>
        </w:rPr>
        <w:t>电力市场技术支持系统、</w:t>
      </w:r>
      <w:r>
        <w:rPr>
          <w:rFonts w:hint="eastAsia" w:ascii="仿宋_GB2312" w:hAnsi="仿宋_GB2312" w:eastAsia="仿宋_GB2312" w:cs="仿宋_GB2312"/>
          <w:sz w:val="32"/>
          <w:szCs w:val="32"/>
          <w:shd w:val="clear" w:color="auto" w:fill="FFFFFF"/>
        </w:rPr>
        <w:t>媒体</w:t>
      </w:r>
      <w:r>
        <w:rPr>
          <w:rFonts w:ascii="仿宋_GB2312" w:hAnsi="仿宋_GB2312" w:eastAsia="仿宋_GB2312" w:cs="仿宋_GB2312"/>
          <w:sz w:val="32"/>
          <w:szCs w:val="32"/>
          <w:shd w:val="clear" w:color="auto" w:fill="FFFFFF"/>
        </w:rPr>
        <w:t>公众号等</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（二）报刊、广播、电视等媒体</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（三）信息发布会</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（四）简报、公告</w:t>
      </w:r>
      <w:r>
        <w:rPr>
          <w:rFonts w:hint="eastAsia" w:ascii="仿宋_GB2312" w:hAnsi="仿宋_GB2312" w:eastAsia="仿宋_GB2312" w:cs="仿宋_GB2312"/>
          <w:sz w:val="32"/>
          <w:szCs w:val="32"/>
          <w:shd w:val="clear" w:color="auto" w:fill="FFFFFF"/>
          <w:lang w:val="zh-CN"/>
        </w:rPr>
        <w:t>；</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（五）便于及时披露信息的其他方式。</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三</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披露信息应当保证所披露信息的真实性、及时性</w:t>
      </w:r>
      <w:r>
        <w:rPr>
          <w:rFonts w:hint="eastAsia" w:ascii="仿宋_GB2312" w:hAnsi="仿宋_GB2312" w:eastAsia="仿宋_GB2312" w:cs="仿宋_GB2312"/>
          <w:sz w:val="32"/>
          <w:szCs w:val="32"/>
          <w:shd w:val="clear" w:color="auto" w:fill="FFFFFF"/>
          <w:lang w:val="zh-CN"/>
        </w:rPr>
        <w:t>、完整性</w:t>
      </w:r>
      <w:r>
        <w:rPr>
          <w:rFonts w:ascii="仿宋_GB2312" w:hAnsi="仿宋_GB2312" w:eastAsia="仿宋_GB2312" w:cs="仿宋_GB2312"/>
          <w:sz w:val="32"/>
          <w:szCs w:val="32"/>
          <w:shd w:val="clear" w:color="auto" w:fill="FFFFFF"/>
          <w:lang w:val="zh-CN"/>
        </w:rPr>
        <w:t>，并方便相关电力企业和用户获取。</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四</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应当指定具体负责信息披露的机构和人员，公开咨询电话和电子咨询邮箱，并报电力监管机构备案。</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jc w:val="center"/>
        <w:textAlignment w:val="auto"/>
        <w:rPr>
          <w:rStyle w:val="9"/>
          <w:rFonts w:ascii="黑体" w:hAnsi="黑体" w:eastAsia="黑体" w:cs="黑体"/>
          <w:b w:val="0"/>
          <w:bCs/>
          <w:color w:val="000000"/>
          <w:sz w:val="32"/>
          <w:szCs w:val="32"/>
          <w:shd w:val="clear" w:color="auto" w:fill="FFFFFF"/>
          <w:lang w:val="zh-CN"/>
        </w:rPr>
      </w:pPr>
      <w:r>
        <w:rPr>
          <w:rStyle w:val="9"/>
          <w:rFonts w:hint="eastAsia" w:ascii="黑体" w:hAnsi="黑体" w:eastAsia="黑体" w:cs="黑体"/>
          <w:b w:val="0"/>
          <w:bCs/>
          <w:color w:val="000000"/>
          <w:sz w:val="32"/>
          <w:szCs w:val="32"/>
          <w:shd w:val="clear" w:color="auto" w:fill="FFFFFF"/>
        </w:rPr>
        <w:t xml:space="preserve">第四章 </w:t>
      </w:r>
      <w:r>
        <w:rPr>
          <w:rStyle w:val="9"/>
          <w:rFonts w:ascii="黑体" w:hAnsi="黑体" w:eastAsia="黑体" w:cs="黑体"/>
          <w:b w:val="0"/>
          <w:bCs/>
          <w:color w:val="000000"/>
          <w:sz w:val="32"/>
          <w:szCs w:val="32"/>
          <w:shd w:val="clear" w:color="auto" w:fill="FFFFFF"/>
          <w:lang w:val="zh-CN"/>
        </w:rPr>
        <w:t>监督管理</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五</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电力监管机构对电力企业、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披露信息的情况进行监督检查。</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仿宋_GB2312" w:hAnsi="仿宋_GB2312" w:eastAsia="仿宋_GB2312" w:cs="仿宋_GB2312"/>
          <w:sz w:val="32"/>
          <w:szCs w:val="32"/>
          <w:shd w:val="clear" w:color="auto" w:fill="FFFFFF"/>
          <w:lang w:val="zh-CN"/>
        </w:rPr>
        <w:t>电力监管机构根据工作需要，对电力企业、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披露信息的情况进行不定期抽查，并将抽查情况向社会公布。</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六</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电力监管机构每年对在信息披露工作中取得突出成绩的单位和个人给予表彰。</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七</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电力企业、</w:t>
      </w:r>
      <w:r>
        <w:rPr>
          <w:rFonts w:hint="eastAsia" w:ascii="仿宋_GB2312" w:hAnsi="仿宋_GB2312" w:eastAsia="仿宋_GB2312" w:cs="仿宋_GB2312"/>
          <w:sz w:val="32"/>
          <w:szCs w:val="32"/>
          <w:shd w:val="clear" w:color="auto" w:fill="FFFFFF"/>
          <w:lang w:val="zh-CN"/>
        </w:rPr>
        <w:t>电力调度机构、电力交易机构</w:t>
      </w:r>
      <w:r>
        <w:rPr>
          <w:rFonts w:ascii="仿宋_GB2312" w:hAnsi="仿宋_GB2312" w:eastAsia="仿宋_GB2312" w:cs="仿宋_GB2312"/>
          <w:sz w:val="32"/>
          <w:szCs w:val="32"/>
          <w:shd w:val="clear" w:color="auto" w:fill="FFFFFF"/>
          <w:lang w:val="zh-CN"/>
        </w:rPr>
        <w:t>未按照本规定披露有关信息或者披露虚假信息的，由电力监管机构给予批评，责令改正</w:t>
      </w:r>
      <w:r>
        <w:rPr>
          <w:rFonts w:hint="eastAsia" w:ascii="仿宋_GB2312" w:hAnsi="仿宋_GB2312" w:eastAsia="仿宋_GB2312" w:cs="仿宋_GB2312"/>
          <w:sz w:val="32"/>
          <w:szCs w:val="32"/>
          <w:shd w:val="clear" w:color="auto" w:fill="FFFFFF"/>
          <w:lang w:val="zh-CN"/>
        </w:rPr>
        <w:t>；</w:t>
      </w:r>
      <w:r>
        <w:rPr>
          <w:rFonts w:ascii="仿宋_GB2312" w:hAnsi="仿宋_GB2312" w:eastAsia="仿宋_GB2312" w:cs="仿宋_GB2312"/>
          <w:sz w:val="32"/>
          <w:szCs w:val="32"/>
          <w:shd w:val="clear" w:color="auto" w:fill="FFFFFF"/>
          <w:lang w:val="zh-CN"/>
        </w:rPr>
        <w:t>拒不改正的，处5万元以上50万元以下的罚款，对直接负责的主管人员和其他直接责任人员，依法给予处分。</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p>
    <w:p>
      <w:pPr>
        <w:pStyle w:val="6"/>
        <w:keepNext w:val="0"/>
        <w:keepLines w:val="0"/>
        <w:pageBreakBefore w:val="0"/>
        <w:widowControl/>
        <w:shd w:val="clear" w:color="FFFFFF" w:themeColor="background1" w:fill="auto"/>
        <w:kinsoku/>
        <w:wordWrap/>
        <w:topLinePunct w:val="0"/>
        <w:autoSpaceDE/>
        <w:autoSpaceDN/>
        <w:bidi w:val="0"/>
        <w:adjustRightInd/>
        <w:snapToGrid w:val="0"/>
        <w:spacing w:beforeAutospacing="0" w:afterAutospacing="0"/>
        <w:jc w:val="center"/>
        <w:textAlignment w:val="auto"/>
        <w:rPr>
          <w:rStyle w:val="9"/>
          <w:rFonts w:ascii="黑体" w:hAnsi="黑体" w:eastAsia="黑体" w:cs="黑体"/>
          <w:b w:val="0"/>
          <w:bCs/>
          <w:color w:val="000000"/>
          <w:sz w:val="32"/>
          <w:szCs w:val="32"/>
          <w:shd w:val="clear" w:color="auto" w:fill="FFFFFF"/>
          <w:lang w:val="zh-CN"/>
        </w:rPr>
      </w:pPr>
      <w:r>
        <w:rPr>
          <w:rStyle w:val="9"/>
          <w:rFonts w:hint="eastAsia" w:ascii="黑体" w:hAnsi="黑体" w:eastAsia="黑体" w:cs="黑体"/>
          <w:b w:val="0"/>
          <w:bCs/>
          <w:color w:val="000000"/>
          <w:sz w:val="32"/>
          <w:szCs w:val="32"/>
          <w:shd w:val="clear" w:color="auto" w:fill="FFFFFF"/>
        </w:rPr>
        <w:t xml:space="preserve">第五章 </w:t>
      </w:r>
      <w:r>
        <w:rPr>
          <w:rStyle w:val="9"/>
          <w:rFonts w:hint="eastAsia" w:ascii="黑体" w:hAnsi="黑体" w:eastAsia="黑体" w:cs="黑体"/>
          <w:b w:val="0"/>
          <w:bCs/>
          <w:color w:val="000000"/>
          <w:sz w:val="32"/>
          <w:szCs w:val="32"/>
          <w:shd w:val="clear" w:color="auto" w:fill="FFFFFF"/>
          <w:lang w:val="zh-CN"/>
        </w:rPr>
        <w:t>附</w:t>
      </w:r>
      <w:r>
        <w:rPr>
          <w:rFonts w:ascii="仿宋_GB2312" w:hAnsi="仿宋_GB2312" w:eastAsia="仿宋_GB2312" w:cs="仿宋_GB2312"/>
          <w:sz w:val="32"/>
          <w:szCs w:val="32"/>
          <w:shd w:val="clear" w:color="auto" w:fill="FFFFFF"/>
          <w:lang w:val="zh-CN"/>
        </w:rPr>
        <w:t>　</w:t>
      </w:r>
      <w:r>
        <w:rPr>
          <w:rStyle w:val="9"/>
          <w:rFonts w:hint="eastAsia" w:ascii="黑体" w:hAnsi="黑体" w:eastAsia="黑体" w:cs="黑体"/>
          <w:b w:val="0"/>
          <w:bCs/>
          <w:color w:val="000000"/>
          <w:sz w:val="32"/>
          <w:szCs w:val="32"/>
          <w:shd w:val="clear" w:color="auto" w:fill="FFFFFF"/>
          <w:lang w:val="zh-CN"/>
        </w:rPr>
        <w:t>则</w:t>
      </w: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p>
    <w:p>
      <w:pPr>
        <w:keepNext w:val="0"/>
        <w:keepLines w:val="0"/>
        <w:pageBreakBefore w:val="0"/>
        <w:kinsoku/>
        <w:wordWrap/>
        <w:overflowPunct w:val="0"/>
        <w:topLinePunct w:val="0"/>
        <w:autoSpaceDE/>
        <w:autoSpaceDN/>
        <w:bidi w:val="0"/>
        <w:adjustRightInd/>
        <w:ind w:firstLine="640" w:firstLineChars="200"/>
        <w:textAlignment w:val="auto"/>
        <w:rPr>
          <w:rFonts w:ascii="仿宋_GB2312" w:hAnsi="仿宋_GB2312" w:eastAsia="仿宋_GB2312" w:cs="仿宋_GB2312"/>
          <w:sz w:val="32"/>
          <w:szCs w:val="32"/>
          <w:shd w:val="clear" w:color="auto" w:fill="FFFFFF"/>
          <w:lang w:val="zh-CN"/>
        </w:rPr>
      </w:pPr>
      <w:r>
        <w:rPr>
          <w:rFonts w:hint="eastAsia"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bidi="ar"/>
        </w:rPr>
        <w:t>八</w:t>
      </w:r>
      <w:r>
        <w:rPr>
          <w:rFonts w:hint="eastAsia"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w:t>
      </w:r>
      <w:r>
        <w:rPr>
          <w:rFonts w:hint="eastAsia" w:ascii="仿宋_GB2312" w:hAnsi="仿宋_GB2312" w:eastAsia="仿宋_GB2312" w:cs="仿宋_GB2312"/>
          <w:sz w:val="32"/>
          <w:szCs w:val="32"/>
          <w:shd w:val="clear" w:color="auto" w:fill="FFFFFF"/>
          <w:lang w:val="zh-CN"/>
        </w:rPr>
        <w:t>国家能源局</w:t>
      </w:r>
      <w:r>
        <w:rPr>
          <w:rFonts w:ascii="仿宋_GB2312" w:hAnsi="仿宋_GB2312" w:eastAsia="仿宋_GB2312" w:cs="仿宋_GB2312"/>
          <w:sz w:val="32"/>
          <w:szCs w:val="32"/>
          <w:shd w:val="clear" w:color="auto" w:fill="FFFFFF"/>
          <w:lang w:val="zh-CN"/>
        </w:rPr>
        <w:t>区域监管局根据本规定制定实施办法，报</w:t>
      </w:r>
      <w:r>
        <w:rPr>
          <w:rFonts w:hint="eastAsia" w:ascii="仿宋_GB2312" w:hAnsi="仿宋_GB2312" w:eastAsia="仿宋_GB2312" w:cs="仿宋_GB2312"/>
          <w:sz w:val="32"/>
          <w:szCs w:val="32"/>
          <w:shd w:val="clear" w:color="auto" w:fill="FFFFFF"/>
          <w:lang w:val="zh-CN"/>
        </w:rPr>
        <w:t>国家能源局</w:t>
      </w:r>
      <w:r>
        <w:rPr>
          <w:rFonts w:ascii="仿宋_GB2312" w:hAnsi="仿宋_GB2312" w:eastAsia="仿宋_GB2312" w:cs="仿宋_GB2312"/>
          <w:sz w:val="32"/>
          <w:szCs w:val="32"/>
          <w:shd w:val="clear" w:color="auto" w:fill="FFFFFF"/>
          <w:lang w:val="zh-CN"/>
        </w:rPr>
        <w:t>批准后施行。</w:t>
      </w:r>
    </w:p>
    <w:p>
      <w:pPr>
        <w:keepNext w:val="0"/>
        <w:keepLines w:val="0"/>
        <w:pageBreakBefore w:val="0"/>
        <w:kinsoku/>
        <w:wordWrap/>
        <w:overflowPunct w:val="0"/>
        <w:topLinePunct w:val="0"/>
        <w:autoSpaceDE/>
        <w:autoSpaceDN/>
        <w:bidi w:val="0"/>
        <w:adjustRightInd/>
        <w:ind w:firstLine="640" w:firstLineChars="200"/>
        <w:textAlignment w:val="auto"/>
        <w:rPr>
          <w:rFonts w:ascii="Times New Roman" w:hAnsi="Times New Roman" w:eastAsia="仿宋_GB2312" w:cs="Times New Roman"/>
          <w:color w:val="000000"/>
          <w:sz w:val="32"/>
          <w:szCs w:val="32"/>
          <w:shd w:val="clear" w:color="auto" w:fill="FFFFFF"/>
        </w:rPr>
      </w:pPr>
      <w:r>
        <w:rPr>
          <w:rFonts w:ascii="黑体" w:hAnsi="黑体" w:eastAsia="黑体" w:cs="黑体"/>
          <w:color w:val="000000"/>
          <w:kern w:val="0"/>
          <w:sz w:val="32"/>
          <w:szCs w:val="32"/>
          <w:shd w:val="clear" w:color="auto" w:fill="FFFFFF"/>
          <w:lang w:val="zh-CN" w:bidi="ar"/>
        </w:rPr>
        <w:t>第十</w:t>
      </w:r>
      <w:r>
        <w:rPr>
          <w:rFonts w:hint="eastAsia" w:ascii="黑体" w:hAnsi="黑体" w:eastAsia="黑体" w:cs="黑体"/>
          <w:color w:val="000000"/>
          <w:kern w:val="0"/>
          <w:sz w:val="32"/>
          <w:szCs w:val="32"/>
          <w:shd w:val="clear" w:color="auto" w:fill="FFFFFF"/>
          <w:lang w:val="zh-CN" w:bidi="ar"/>
        </w:rPr>
        <w:t>九</w:t>
      </w:r>
      <w:r>
        <w:rPr>
          <w:rFonts w:ascii="黑体" w:hAnsi="黑体" w:eastAsia="黑体" w:cs="黑体"/>
          <w:color w:val="000000"/>
          <w:kern w:val="0"/>
          <w:sz w:val="32"/>
          <w:szCs w:val="32"/>
          <w:shd w:val="clear" w:color="auto" w:fill="FFFFFF"/>
          <w:lang w:val="zh-CN" w:bidi="ar"/>
        </w:rPr>
        <w:t>条</w:t>
      </w:r>
      <w:r>
        <w:rPr>
          <w:rFonts w:ascii="仿宋_GB2312" w:hAnsi="仿宋_GB2312" w:eastAsia="仿宋_GB2312" w:cs="仿宋_GB2312"/>
          <w:sz w:val="32"/>
          <w:szCs w:val="32"/>
          <w:shd w:val="clear" w:color="auto" w:fill="FFFFFF"/>
          <w:lang w:val="zh-CN"/>
        </w:rPr>
        <w:t>　本规</w:t>
      </w:r>
      <w:r>
        <w:rPr>
          <w:rFonts w:hint="eastAsia" w:ascii="仿宋_GB2312" w:hAnsi="仿宋_GB2312" w:eastAsia="仿宋_GB2312" w:cs="仿宋_GB2312"/>
          <w:sz w:val="32"/>
          <w:szCs w:val="32"/>
          <w:shd w:val="clear" w:color="auto" w:fill="FFFFFF"/>
          <w:lang w:val="zh-CN"/>
        </w:rPr>
        <w:t>定自2006年1月1日起施</w:t>
      </w:r>
      <w:r>
        <w:rPr>
          <w:rFonts w:ascii="仿宋_GB2312" w:hAnsi="仿宋_GB2312" w:eastAsia="仿宋_GB2312" w:cs="仿宋_GB2312"/>
          <w:sz w:val="32"/>
          <w:szCs w:val="32"/>
          <w:shd w:val="clear" w:color="auto" w:fill="FFFFFF"/>
          <w:lang w:val="zh-CN"/>
        </w:rPr>
        <w:t>行。</w:t>
      </w:r>
    </w:p>
    <w:p>
      <w:pPr>
        <w:keepNext w:val="0"/>
        <w:keepLines w:val="0"/>
        <w:pageBreakBefore w:val="0"/>
        <w:shd w:val="clear" w:color="FFFFFF" w:themeColor="background1" w:fill="auto"/>
        <w:kinsoku/>
        <w:wordWrap/>
        <w:topLinePunct w:val="0"/>
        <w:autoSpaceDE/>
        <w:autoSpaceDN/>
        <w:bidi w:val="0"/>
        <w:adjustRightInd/>
        <w:snapToGrid w:val="0"/>
        <w:textAlignment w:val="auto"/>
        <w:rPr>
          <w:rFonts w:ascii="Times New Roman" w:hAnsi="Times New Roman" w:eastAsia="仿宋_GB2312" w:cs="Times New Roman"/>
          <w:sz w:val="30"/>
          <w:szCs w:val="30"/>
        </w:rPr>
      </w:pPr>
    </w:p>
    <w:p/>
    <w:sectPr>
      <w:headerReference r:id="rId3" w:type="default"/>
      <w:footerReference r:id="rId4" w:type="default"/>
      <w:pgSz w:w="11906" w:h="16838"/>
      <w:pgMar w:top="2075" w:right="1474" w:bottom="1848"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宋体"/>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p>
    <w:pPr>
      <w:pStyle w:val="5"/>
      <w:wordWrap w:val="0"/>
      <w:ind w:left="4788" w:leftChars="2280" w:right="640"/>
      <w:rPr>
        <w:rFonts w:hint="eastAsia"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p>
  <w:p>
    <w:pPr>
      <w:pStyle w:val="5"/>
      <w:jc w:val="right"/>
      <w:rPr>
        <w:rFonts w:ascii="宋体" w:hAnsi="宋体" w:cs="宋体"/>
        <w:b/>
        <w:bCs/>
        <w:color w:val="005192"/>
        <w:sz w:val="28"/>
        <w:szCs w:val="44"/>
      </w:rPr>
    </w:pPr>
    <w:r>
      <w:rPr>
        <w:rFonts w:hint="eastAsia" w:ascii="宋体" w:hAnsi="宋体" w:cs="宋体"/>
        <w:b/>
        <w:bCs/>
        <w:color w:val="005192"/>
        <w:sz w:val="28"/>
        <w:szCs w:val="44"/>
      </w:rPr>
      <w:t>中华人民共和国国家发展和改革委员会发布</w:t>
    </w:r>
  </w:p>
  <w:p>
    <w:pPr>
      <w:pStyle w:val="5"/>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cs="宋体"/>
        <w:b/>
        <w:bCs/>
        <w:color w:val="005192"/>
        <w:sz w:val="32"/>
      </w:rPr>
    </w:pPr>
    <w:r>
      <w:rPr>
        <w:rFonts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szCs w:val="32"/>
      </w:rPr>
      <w:t>中华人民共和国国家发展和改革委员会规章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xNmZkNjdjZTdhNDg3OWM0NWYwMDhhMzBmZmVjYTEifQ=="/>
  </w:docVars>
  <w:rsids>
    <w:rsidRoot w:val="35D56FDA"/>
    <w:rsid w:val="03CB6BA2"/>
    <w:rsid w:val="2DE4713F"/>
    <w:rsid w:val="35D56FDA"/>
    <w:rsid w:val="3B2F6208"/>
    <w:rsid w:val="594700E3"/>
    <w:rsid w:val="710979B4"/>
    <w:rsid w:val="798968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0" w:line="588" w:lineRule="exact"/>
      <w:ind w:firstLine="200" w:firstLineChars="200"/>
      <w:textAlignment w:val="center"/>
    </w:pPr>
    <w:rPr>
      <w:rFonts w:ascii="Times New Roman" w:hAnsi="Times New Roman" w:eastAsia="方正仿宋_GBK" w:cs="Times New Roman"/>
      <w:kern w:val="0"/>
      <w:sz w:val="30"/>
      <w:szCs w:val="30"/>
    </w:rPr>
  </w:style>
  <w:style w:type="paragraph" w:styleId="3">
    <w:name w:val="Body Text 2"/>
    <w:basedOn w:val="1"/>
    <w:next w:val="1"/>
    <w:qFormat/>
    <w:uiPriority w:val="0"/>
    <w:pPr>
      <w:adjustRightInd w:val="0"/>
      <w:ind w:left="480" w:leftChars="200"/>
    </w:pPr>
    <w:rPr>
      <w:rFonts w:eastAsia="仿宋"/>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paragraph" w:customStyle="1" w:styleId="10">
    <w:name w:val="_Normal"/>
    <w:basedOn w:val="1"/>
    <w:qFormat/>
    <w:uiPriority w:val="0"/>
    <w:pPr>
      <w:spacing w:line="600" w:lineRule="exact"/>
      <w:ind w:firstLine="200" w:firstLineChars="200"/>
    </w:pPr>
    <w:rPr>
      <w:rFonts w:ascii="Times New Roman" w:hAnsi="Times New Roman" w:eastAsia="仿宋_GB2312"/>
      <w:spacing w:val="-2"/>
      <w:sz w:val="30"/>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2344</Words>
  <Characters>2369</Characters>
  <Lines>0</Lines>
  <Paragraphs>0</Paragraphs>
  <TotalTime>0</TotalTime>
  <ScaleCrop>false</ScaleCrop>
  <LinksUpToDate>false</LinksUpToDate>
  <CharactersWithSpaces>2403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2024-01-25T06:54:00Z</dcterms:created>
  <dc:creator>Administrator</dc:creator>
  <cp:lastModifiedBy>卡摩</cp:lastModifiedBy>
  <dcterms:modified xsi:type="dcterms:W3CDTF">2024-02-02T09:29:03Z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729A723357864C66AACE9CCF0B20FFA9_13</vt:lpwstr>
  </property>
</Properties>
</file>