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eastAsiaTheme="minorEastAsia" w:cstheme="minorEastAsia"/>
          <w:sz w:val="44"/>
          <w:szCs w:val="44"/>
        </w:rPr>
      </w:pPr>
    </w:p>
    <w:p>
      <w:pPr>
        <w:rPr>
          <w:rFonts w:asciiTheme="minorEastAsia" w:hAnsiTheme="minorEastAsia" w:eastAsiaTheme="minorEastAsia" w:cstheme="minorEastAsia"/>
          <w:sz w:val="44"/>
          <w:szCs w:val="44"/>
        </w:rPr>
      </w:pPr>
    </w:p>
    <w:p>
      <w:pPr>
        <w:jc w:val="center"/>
        <w:rPr>
          <w:rFonts w:ascii="宋体" w:hAnsi="宋体" w:cs="宋体"/>
          <w:sz w:val="36"/>
          <w:szCs w:val="36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>关于修改、废止部分规章规范性文件的决定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  <w:lang w:val="en-US" w:eastAsia="zh-CN"/>
        </w:rPr>
        <w:t>(2015年5月30日国家发展改革委令第26号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  <w:t>公布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  <w:t>自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  <w:lang w:val="en-US" w:eastAsia="zh-CN"/>
        </w:rPr>
        <w:t>2015年5月30日</w:t>
      </w:r>
      <w:r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  <w:t>起施行)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根据《中华人民共和国公司法》和《国务院关于印发注册资本登记制度改革方案的通知》（国发[2014]7号），为进一步落实注册资本登记制度改革有关事项，现决定：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一、废止《关于印发〈股份有限公司规范意见〉和〈有限责任公司规范意见〉的通知》（体改生[1992]31号）。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二、对4件规章、1件规范性文件的部分条款予以修改。（附件）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附件：决定修改的规章和规范性文件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2015年5月30日</w:t>
      </w:r>
    </w:p>
    <w:p>
      <w:pPr>
        <w:jc w:val="center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/>
    <w:p>
      <w:pPr>
        <w:spacing w:before="58"/>
        <w:ind w:left="220"/>
        <w:jc w:val="left"/>
        <w:rPr>
          <w:rFonts w:ascii="黑体" w:eastAsia="黑体"/>
          <w:sz w:val="30"/>
        </w:rPr>
        <w:sectPr>
          <w:headerReference r:id="rId3" w:type="default"/>
          <w:footerReference r:id="rId4" w:type="default"/>
          <w:pgSz w:w="11906" w:h="16838"/>
          <w:pgMar w:top="1962" w:right="1474" w:bottom="1848" w:left="1587" w:header="851" w:footer="992" w:gutter="0"/>
          <w:pgNumType w:fmt="numberInDash"/>
          <w:cols w:space="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8" w:line="500" w:lineRule="exact"/>
        <w:ind w:left="221"/>
        <w:jc w:val="left"/>
        <w:textAlignment w:val="auto"/>
        <w:rPr>
          <w:sz w:val="44"/>
          <w:szCs w:val="44"/>
        </w:rPr>
      </w:pPr>
      <w:r>
        <w:rPr>
          <w:rFonts w:hint="eastAsia" w:ascii="黑体" w:eastAsia="黑体"/>
          <w:sz w:val="30"/>
        </w:rPr>
        <w:t>附件</w:t>
      </w:r>
      <w:bookmarkStart w:id="0" w:name="_GoBack"/>
      <w:bookmarkEnd w:id="0"/>
    </w:p>
    <w:p>
      <w:pPr>
        <w:pStyle w:val="9"/>
        <w:ind w:left="184"/>
        <w:jc w:val="center"/>
        <w:rPr>
          <w:rFonts w:asciiTheme="minorEastAsia" w:hAnsiTheme="minorEastAsia" w:eastAsiaTheme="minorEastAsia" w:cstheme="minorEastAsia"/>
          <w:sz w:val="36"/>
          <w:szCs w:val="36"/>
          <w:lang w:val="en-US" w:bidi="ar-SA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bidi="ar-SA"/>
        </w:rPr>
        <w:t>决定修改的规章和规范性文件</w:t>
      </w:r>
    </w:p>
    <w:tbl>
      <w:tblPr>
        <w:tblStyle w:val="6"/>
        <w:tblW w:w="13077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8"/>
        <w:gridCol w:w="950"/>
        <w:gridCol w:w="3114"/>
        <w:gridCol w:w="1971"/>
        <w:gridCol w:w="62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9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序号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类别</w:t>
            </w:r>
          </w:p>
        </w:tc>
        <w:tc>
          <w:tcPr>
            <w:tcW w:w="311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名称及文号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发文单位及日期</w:t>
            </w:r>
          </w:p>
        </w:tc>
        <w:tc>
          <w:tcPr>
            <w:tcW w:w="624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修改内容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798" w:type="dxa"/>
            <w:vMerge w:val="restart"/>
          </w:tcPr>
          <w:p>
            <w:pPr>
              <w:pStyle w:val="9"/>
              <w:spacing w:before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0" w:type="dxa"/>
            <w:vMerge w:val="restart"/>
          </w:tcPr>
          <w:p>
            <w:pPr>
              <w:pStyle w:val="9"/>
              <w:spacing w:before="2"/>
              <w:rPr>
                <w:sz w:val="24"/>
              </w:rPr>
            </w:pPr>
            <w:r>
              <w:rPr>
                <w:sz w:val="24"/>
              </w:rPr>
              <w:t>规章</w:t>
            </w:r>
          </w:p>
        </w:tc>
        <w:tc>
          <w:tcPr>
            <w:tcW w:w="3114" w:type="dxa"/>
            <w:vMerge w:val="restart"/>
          </w:tcPr>
          <w:p>
            <w:pPr>
              <w:pStyle w:val="9"/>
              <w:rPr>
                <w:sz w:val="24"/>
              </w:rPr>
            </w:pPr>
            <w:r>
              <w:rPr>
                <w:spacing w:val="-4"/>
                <w:sz w:val="24"/>
              </w:rPr>
              <w:t>《工程咨询单位资格认定办法》（国家发展改革委第29号令）</w:t>
            </w:r>
          </w:p>
        </w:tc>
        <w:tc>
          <w:tcPr>
            <w:tcW w:w="1971" w:type="dxa"/>
            <w:vMerge w:val="restart"/>
          </w:tcPr>
          <w:p>
            <w:pPr>
              <w:pStyle w:val="9"/>
              <w:spacing w:before="2" w:line="242" w:lineRule="auto"/>
              <w:ind w:right="300"/>
              <w:rPr>
                <w:sz w:val="24"/>
              </w:rPr>
            </w:pPr>
            <w:r>
              <w:rPr>
                <w:spacing w:val="-4"/>
                <w:sz w:val="24"/>
              </w:rPr>
              <w:t>国家发展改革委2005年3月4日</w:t>
            </w:r>
          </w:p>
        </w:tc>
        <w:tc>
          <w:tcPr>
            <w:tcW w:w="6244" w:type="dxa"/>
          </w:tcPr>
          <w:p>
            <w:pPr>
              <w:pStyle w:val="9"/>
              <w:spacing w:before="70" w:line="242" w:lineRule="auto"/>
              <w:ind w:right="96"/>
              <w:rPr>
                <w:sz w:val="24"/>
              </w:rPr>
            </w:pPr>
            <w:r>
              <w:rPr>
                <w:spacing w:val="-4"/>
                <w:sz w:val="24"/>
              </w:rPr>
              <w:t>删除第八条第（一）项中的“2.注册资金不低于500万元（事业单位除外）”。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9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4" w:type="dxa"/>
          </w:tcPr>
          <w:p>
            <w:pPr>
              <w:pStyle w:val="9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删除第九条第（一）项中的“2.注册资金不低于200万元（事业</w:t>
            </w:r>
          </w:p>
          <w:p>
            <w:pPr>
              <w:pStyle w:val="9"/>
              <w:rPr>
                <w:sz w:val="24"/>
              </w:rPr>
            </w:pPr>
            <w:r>
              <w:rPr>
                <w:spacing w:val="-4"/>
                <w:sz w:val="24"/>
              </w:rPr>
              <w:t>单位除外）”。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98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0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4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71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4" w:type="dxa"/>
            <w:tcBorders>
              <w:bottom w:val="single" w:color="auto" w:sz="4" w:space="0"/>
            </w:tcBorders>
          </w:tcPr>
          <w:p>
            <w:pPr>
              <w:pStyle w:val="9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删除第十条第（一）项：“注册资金不低于50万元（事业单位除</w:t>
            </w:r>
          </w:p>
          <w:p>
            <w:pPr>
              <w:pStyle w:val="9"/>
              <w:rPr>
                <w:sz w:val="24"/>
              </w:rPr>
            </w:pPr>
            <w:r>
              <w:rPr>
                <w:spacing w:val="-4"/>
                <w:sz w:val="24"/>
              </w:rPr>
              <w:t>外）”。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规章</w:t>
            </w:r>
          </w:p>
        </w:tc>
        <w:tc>
          <w:tcPr>
            <w:tcW w:w="31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242" w:lineRule="auto"/>
              <w:ind w:left="108" w:right="96"/>
              <w:rPr>
                <w:sz w:val="24"/>
              </w:rPr>
            </w:pPr>
            <w:r>
              <w:rPr>
                <w:spacing w:val="3"/>
                <w:sz w:val="24"/>
              </w:rPr>
              <w:t>《</w:t>
            </w:r>
            <w:r>
              <w:rPr>
                <w:spacing w:val="-4"/>
                <w:sz w:val="24"/>
              </w:rPr>
              <w:t>中央投资项目招标代理资格管理办法》（国家发展改革委第13号令）</w:t>
            </w:r>
          </w:p>
        </w:tc>
        <w:tc>
          <w:tcPr>
            <w:tcW w:w="19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242" w:lineRule="auto"/>
              <w:ind w:right="300"/>
              <w:rPr>
                <w:sz w:val="24"/>
              </w:rPr>
            </w:pPr>
            <w:r>
              <w:rPr>
                <w:spacing w:val="-4"/>
                <w:sz w:val="24"/>
              </w:rPr>
              <w:t>国家发展改革委2012年3月2日</w:t>
            </w: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before="60"/>
              <w:ind w:right="-2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删除第九条第（一）项：“注册资本金不少于1000万元人民币”。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before="72"/>
              <w:ind w:left="109" w:right="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删除第十条第（一）项：“注册资本金不少于500万元人民币”。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before="19" w:line="305" w:lineRule="exact"/>
              <w:ind w:right="-2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删除第十一条第（一）项：“注册资本金不少于300万元人民币”。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798" w:type="dxa"/>
            <w:tcBorders>
              <w:top w:val="single" w:color="auto" w:sz="4" w:space="0"/>
            </w:tcBorders>
          </w:tcPr>
          <w:p>
            <w:pPr>
              <w:pStyle w:val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50" w:type="dxa"/>
            <w:tcBorders>
              <w:top w:val="single" w:color="auto" w:sz="4" w:space="0"/>
            </w:tcBorders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规章</w:t>
            </w:r>
          </w:p>
        </w:tc>
        <w:tc>
          <w:tcPr>
            <w:tcW w:w="3114" w:type="dxa"/>
            <w:tcBorders>
              <w:top w:val="single" w:color="auto" w:sz="4" w:space="0"/>
            </w:tcBorders>
          </w:tcPr>
          <w:p>
            <w:pPr>
              <w:pStyle w:val="9"/>
              <w:spacing w:line="242" w:lineRule="auto"/>
              <w:ind w:left="108" w:right="96"/>
              <w:rPr>
                <w:sz w:val="24"/>
              </w:rPr>
            </w:pPr>
            <w:r>
              <w:rPr>
                <w:spacing w:val="-4"/>
                <w:sz w:val="24"/>
              </w:rPr>
              <w:t>《电力业务许可证管理规定》（电监会第9号令）</w:t>
            </w:r>
          </w:p>
        </w:tc>
        <w:tc>
          <w:tcPr>
            <w:tcW w:w="1971" w:type="dxa"/>
            <w:tcBorders>
              <w:top w:val="single" w:color="auto" w:sz="4" w:space="0"/>
            </w:tcBorders>
          </w:tcPr>
          <w:p>
            <w:pPr>
              <w:pStyle w:val="9"/>
              <w:spacing w:before="19" w:line="305" w:lineRule="exact"/>
              <w:ind w:right="-29"/>
              <w:jc w:val="left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电监会</w:t>
            </w:r>
          </w:p>
          <w:p>
            <w:pPr>
              <w:pStyle w:val="9"/>
              <w:spacing w:before="19" w:line="305" w:lineRule="exact"/>
              <w:ind w:right="-29"/>
              <w:rPr>
                <w:sz w:val="24"/>
              </w:rPr>
            </w:pPr>
            <w:r>
              <w:rPr>
                <w:spacing w:val="-4"/>
                <w:sz w:val="24"/>
              </w:rPr>
              <w:t>2005年11月7日</w:t>
            </w:r>
          </w:p>
        </w:tc>
        <w:tc>
          <w:tcPr>
            <w:tcW w:w="6244" w:type="dxa"/>
            <w:tcBorders>
              <w:top w:val="single" w:color="auto" w:sz="4" w:space="0"/>
            </w:tcBorders>
          </w:tcPr>
          <w:p>
            <w:pPr>
              <w:pStyle w:val="9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将第十七条第（三）项修改为：“（三）企业最近2年的年度财务报告；成立不足2年的，出具企业成立以来的年度财务报告”。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98" w:type="dxa"/>
            <w:vMerge w:val="restart"/>
          </w:tcPr>
          <w:p>
            <w:pPr>
              <w:pStyle w:val="9"/>
              <w:spacing w:before="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50" w:type="dxa"/>
            <w:vMerge w:val="restart"/>
          </w:tcPr>
          <w:p>
            <w:pPr>
              <w:pStyle w:val="9"/>
              <w:spacing w:before="2"/>
              <w:rPr>
                <w:sz w:val="24"/>
              </w:rPr>
            </w:pPr>
            <w:r>
              <w:rPr>
                <w:sz w:val="24"/>
              </w:rPr>
              <w:t>规章</w:t>
            </w:r>
          </w:p>
        </w:tc>
        <w:tc>
          <w:tcPr>
            <w:tcW w:w="3114" w:type="dxa"/>
            <w:vMerge w:val="restart"/>
          </w:tcPr>
          <w:p>
            <w:pPr>
              <w:pStyle w:val="9"/>
              <w:spacing w:before="2" w:line="242" w:lineRule="auto"/>
              <w:ind w:left="108" w:right="-29"/>
              <w:rPr>
                <w:sz w:val="24"/>
              </w:rPr>
            </w:pPr>
            <w:r>
              <w:rPr>
                <w:spacing w:val="-4"/>
                <w:sz w:val="24"/>
              </w:rPr>
              <w:t>《承装（修、试）电力设施许可证管理办法》（电监会第28号令）</w:t>
            </w:r>
          </w:p>
        </w:tc>
        <w:tc>
          <w:tcPr>
            <w:tcW w:w="1971" w:type="dxa"/>
            <w:vMerge w:val="restart"/>
          </w:tcPr>
          <w:p>
            <w:pPr>
              <w:pStyle w:val="9"/>
              <w:spacing w:before="19" w:line="305" w:lineRule="exact"/>
              <w:ind w:right="-29"/>
              <w:jc w:val="left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电监会</w:t>
            </w:r>
          </w:p>
          <w:p>
            <w:pPr>
              <w:pStyle w:val="9"/>
              <w:spacing w:before="19" w:line="305" w:lineRule="exact"/>
              <w:ind w:right="-2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2009年12月18日</w:t>
            </w:r>
          </w:p>
        </w:tc>
        <w:tc>
          <w:tcPr>
            <w:tcW w:w="6244" w:type="dxa"/>
          </w:tcPr>
          <w:p>
            <w:pPr>
              <w:pStyle w:val="9"/>
              <w:rPr>
                <w:sz w:val="24"/>
              </w:rPr>
            </w:pPr>
            <w:r>
              <w:rPr>
                <w:spacing w:val="-4"/>
                <w:sz w:val="24"/>
              </w:rPr>
              <w:t>删除第八条第二款：“申请人取得许可证后，方可向工商行政管理部门申请营业执照或者变更经营范围”。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79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44" w:type="dxa"/>
          </w:tcPr>
          <w:p>
            <w:pPr>
              <w:pStyle w:val="9"/>
              <w:rPr>
                <w:sz w:val="24"/>
              </w:rPr>
            </w:pPr>
            <w:r>
              <w:rPr>
                <w:spacing w:val="-4"/>
                <w:sz w:val="24"/>
              </w:rPr>
              <w:t>删除第九条第一款第（二）项：“具有与申请的许可证类别和等级相适应的注册资本”。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798" w:type="dxa"/>
          </w:tcPr>
          <w:p>
            <w:pPr>
              <w:pStyle w:val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50" w:type="dxa"/>
          </w:tcPr>
          <w:p>
            <w:pPr>
              <w:pStyle w:val="9"/>
              <w:spacing w:line="242" w:lineRule="auto"/>
              <w:ind w:right="95"/>
              <w:rPr>
                <w:sz w:val="24"/>
              </w:rPr>
            </w:pPr>
            <w:r>
              <w:rPr>
                <w:spacing w:val="-26"/>
                <w:sz w:val="24"/>
              </w:rPr>
              <w:t>规范性</w:t>
            </w:r>
            <w:r>
              <w:rPr>
                <w:sz w:val="24"/>
              </w:rPr>
              <w:t>文件</w:t>
            </w:r>
          </w:p>
        </w:tc>
        <w:tc>
          <w:tcPr>
            <w:tcW w:w="3114" w:type="dxa"/>
          </w:tcPr>
          <w:p>
            <w:pPr>
              <w:pStyle w:val="9"/>
              <w:spacing w:before="19" w:line="305" w:lineRule="exact"/>
              <w:ind w:right="-2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《国家发展改革委委托投资咨询评估管理办法（2009年修订）》（发改投资[2009]802号）</w:t>
            </w:r>
          </w:p>
        </w:tc>
        <w:tc>
          <w:tcPr>
            <w:tcW w:w="1971" w:type="dxa"/>
          </w:tcPr>
          <w:p>
            <w:pPr>
              <w:pStyle w:val="9"/>
              <w:spacing w:line="242" w:lineRule="auto"/>
              <w:ind w:right="180"/>
              <w:rPr>
                <w:sz w:val="24"/>
              </w:rPr>
            </w:pPr>
            <w:r>
              <w:rPr>
                <w:spacing w:val="-4"/>
                <w:sz w:val="24"/>
              </w:rPr>
              <w:t>国家发展改革委2009年3月26日</w:t>
            </w:r>
          </w:p>
        </w:tc>
        <w:tc>
          <w:tcPr>
            <w:tcW w:w="6244" w:type="dxa"/>
          </w:tcPr>
          <w:p>
            <w:pPr>
              <w:pStyle w:val="9"/>
              <w:spacing w:before="159" w:line="242" w:lineRule="auto"/>
              <w:ind w:right="98"/>
              <w:rPr>
                <w:sz w:val="24"/>
              </w:rPr>
            </w:pPr>
            <w:r>
              <w:rPr>
                <w:spacing w:val="-4"/>
                <w:sz w:val="24"/>
              </w:rPr>
              <w:t>删除第四条第（四）项：“注册资金不少于800万元（事业单位除外）”。</w:t>
            </w:r>
          </w:p>
        </w:tc>
      </w:tr>
    </w:tbl>
    <w:p/>
    <w:p/>
    <w:sectPr>
      <w:headerReference r:id="rId5" w:type="default"/>
      <w:footerReference r:id="rId6" w:type="default"/>
      <w:pgSz w:w="16838" w:h="11906" w:orient="landscape"/>
      <w:pgMar w:top="1587" w:right="1962" w:bottom="1474" w:left="1848" w:header="851" w:footer="992" w:gutter="0"/>
      <w:pgNumType w:fmt="numberInDash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4788" w:leftChars="2280" w:firstLine="6400" w:firstLineChars="2000"/>
      <w:rPr>
        <w:rFonts w:hint="eastAsia" w:eastAsia="宋体"/>
        <w:sz w:val="32"/>
        <w:szCs w:val="48"/>
        <w:lang w:eastAsia="zh-CN"/>
      </w:rPr>
    </w:pPr>
    <w:r>
      <w:rPr>
        <w:sz w:val="32"/>
      </w:rPr>
      <w:pict>
        <v:shape id="_x0000_s1029" o:spid="_x0000_s1029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  <w:p>
    <w:pPr>
      <w:pStyle w:val="4"/>
      <w:wordWrap w:val="0"/>
      <w:ind w:left="4788" w:leftChars="2280" w:right="640"/>
      <w:rPr>
        <w:rFonts w:eastAsia="仿宋"/>
        <w:color w:val="FAFAFA"/>
        <w:sz w:val="32"/>
        <w:szCs w:val="48"/>
      </w:rPr>
    </w:pPr>
    <w:r>
      <w:rPr>
        <w:color w:val="FAFAFA"/>
        <w:sz w:val="32"/>
      </w:rPr>
      <w:pict>
        <v:line id="_x0000_s1028" o:spid="_x0000_s1028" o:spt="20" style="position:absolute;left:0pt;margin-left:0pt;margin-top:5.85pt;height:0.15pt;width:442.25pt;z-index:251660288;mso-width-relative:page;mso-height-relative:page;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>
          <v:path arrowok="t"/>
          <v:fill focussize="0,0"/>
          <v:stroke weight="1.75pt" color="#005192" joinstyle="miter"/>
          <v:imagedata o:title=""/>
          <o:lock v:ext="edit"/>
        </v:line>
      </w:pict>
    </w:r>
  </w:p>
  <w:p>
    <w:pPr>
      <w:pStyle w:val="4"/>
      <w:jc w:val="right"/>
      <w:rPr>
        <w:rFonts w:ascii="宋体" w:hAnsi="宋体" w:cs="宋体"/>
        <w:b/>
        <w:bCs/>
        <w:color w:val="005192"/>
        <w:sz w:val="28"/>
        <w:szCs w:val="44"/>
      </w:rPr>
    </w:pPr>
    <w:r>
      <w:rPr>
        <w:rFonts w:hint="eastAsia" w:ascii="宋体" w:hAnsi="宋体" w:cs="宋体"/>
        <w:b/>
        <w:bCs/>
        <w:color w:val="005192"/>
        <w:sz w:val="28"/>
        <w:szCs w:val="44"/>
      </w:rPr>
      <w:t>中华人民共和国国家发展和改革委员会发布</w:t>
    </w:r>
  </w:p>
  <w:p>
    <w:pPr>
      <w:pStyle w:val="4"/>
      <w:wordWrap w:val="0"/>
      <w:ind w:left="4788" w:leftChars="2280" w:firstLine="5622" w:firstLineChars="2000"/>
      <w:jc w:val="right"/>
      <w:rPr>
        <w:rFonts w:ascii="宋体" w:hAnsi="宋体" w:cs="宋体"/>
        <w:b/>
        <w:bCs/>
        <w:color w:val="005192"/>
        <w:sz w:val="28"/>
        <w:szCs w:val="4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4788" w:leftChars="2280" w:firstLine="6400" w:firstLineChars="2000"/>
      <w:rPr>
        <w:rFonts w:hint="eastAsia" w:eastAsia="宋体"/>
        <w:sz w:val="32"/>
        <w:szCs w:val="48"/>
        <w:lang w:eastAsia="zh-CN"/>
      </w:rPr>
    </w:pPr>
    <w:r>
      <w:rPr>
        <w:sz w:val="32"/>
      </w:rPr>
      <w:pict>
        <v:shape id="_x0000_s1032" o:spid="_x0000_s1032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- 3 -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  <w:p>
    <w:pPr>
      <w:pStyle w:val="4"/>
      <w:wordWrap w:val="0"/>
      <w:ind w:left="4788" w:leftChars="2280" w:right="640"/>
      <w:rPr>
        <w:rFonts w:eastAsia="仿宋"/>
        <w:color w:val="FAFAFA"/>
        <w:sz w:val="32"/>
        <w:szCs w:val="48"/>
      </w:rPr>
    </w:pPr>
    <w:r>
      <w:rPr>
        <w:color w:val="FAFAFA"/>
        <w:sz w:val="32"/>
      </w:rPr>
      <w:pict>
        <v:line id="_x0000_s1031" o:spid="_x0000_s1031" o:spt="20" style="position:absolute;left:0pt;margin-left:0pt;margin-top:5.85pt;height:0.15pt;width:649.35pt;z-index:251664384;mso-width-relative:page;mso-height-relative:page;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>
          <v:path arrowok="t"/>
          <v:fill focussize="0,0"/>
          <v:stroke weight="1.75pt" color="#005192" joinstyle="miter"/>
          <v:imagedata o:title=""/>
          <o:lock v:ext="edit"/>
        </v:line>
      </w:pict>
    </w:r>
  </w:p>
  <w:p>
    <w:pPr>
      <w:pStyle w:val="4"/>
      <w:jc w:val="right"/>
      <w:rPr>
        <w:rFonts w:ascii="宋体" w:hAnsi="宋体" w:cs="宋体"/>
        <w:b/>
        <w:bCs/>
        <w:color w:val="005192"/>
        <w:sz w:val="28"/>
        <w:szCs w:val="44"/>
      </w:rPr>
    </w:pPr>
    <w:r>
      <w:rPr>
        <w:rFonts w:hint="eastAsia" w:ascii="宋体" w:hAnsi="宋体" w:cs="宋体"/>
        <w:b/>
        <w:bCs/>
        <w:color w:val="005192"/>
        <w:sz w:val="28"/>
        <w:szCs w:val="44"/>
      </w:rPr>
      <w:t>中华人民共和国国家发展和改革委员会发布</w:t>
    </w:r>
  </w:p>
  <w:p>
    <w:pPr>
      <w:pStyle w:val="4"/>
      <w:wordWrap w:val="0"/>
      <w:ind w:left="4788" w:leftChars="2280" w:firstLine="5622" w:firstLineChars="2000"/>
      <w:jc w:val="right"/>
      <w:rPr>
        <w:rFonts w:ascii="宋体" w:hAnsi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extAlignment w:val="center"/>
      <w:rPr>
        <w:rFonts w:ascii="宋体" w:hAnsi="宋体" w:cs="宋体"/>
        <w:b/>
        <w:bCs/>
        <w:color w:val="005192"/>
        <w:sz w:val="32"/>
      </w:rPr>
    </w:pPr>
    <w:r>
      <w:rPr>
        <w:rFonts w:ascii="宋体" w:hAnsi="宋体" w:cs="宋体"/>
        <w:b/>
        <w:bCs/>
        <w:color w:val="005192"/>
        <w:sz w:val="32"/>
      </w:rPr>
      <w:pict>
        <v:line id="_x0000_s1026" o:spid="_x0000_s1026" o:spt="20" style="position:absolute;left:0pt;margin-left:-0.3pt;margin-top:54.35pt;height:0pt;width:442.55pt;z-index:251659264;mso-width-relative:page;mso-height-relative:page;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SLLs/cBAADLAwAADgAAAGRycy9lMm9Eb2MueG1srVNNjtMw&#10;FN4jcQfLe5o005YSNZ3FVMMGQSXgAK5jJ5b8Jz9P016CCyCxgxVL9tyG4Rg8O2EY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74g+EDxJfCGZKChmplE31Ws+MriNgXS3+XpGXrrpXW+Qq1JUNDK/wSNENfSvQD&#10;hsYjN7AdJUx3aHgeQ4YEp1WbticgCN3hSgdyZMkm5XL+okqksd1fZan3jkE/1uXUaCCjIr4JrQxy&#10;LtM37dY2oYvsw4lBEnKULkUH156zokWa4R3nppMfk4nuzzG+/wa3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UR0DW1QAAAAkBAAAPAAAAAAAAAAEAIAAAACIAAABkcnMvZG93bnJldi54bWxQSwEC&#10;FAAUAAAACACHTuJApSLLs/cBAADLAwAADgAAAAAAAAABACAAAAAkAQAAZHJzL2Uyb0RvYy54bWxQ&#10;SwUGAAAAAAYABgBZAQAAjQUAAAAA&#10;">
          <v:path arrowok="t"/>
          <v:fill focussize="0,0"/>
          <v:stroke weight="1.75pt" color="#005192" joinstyle="miter"/>
          <v:imagedata o:title=""/>
          <o:lock v:ext="edit"/>
        </v:line>
      </w:pict>
    </w:r>
  </w:p>
  <w:p>
    <w:pPr>
      <w:pStyle w:val="4"/>
      <w:textAlignment w:val="center"/>
      <w:rPr>
        <w:rFonts w:ascii="宋体" w:hAnsi="宋体" w:cs="宋体"/>
        <w:b/>
        <w:bCs/>
        <w:color w:val="005192"/>
        <w:sz w:val="32"/>
        <w:szCs w:val="32"/>
      </w:rPr>
    </w:pPr>
    <w:r>
      <w:rPr>
        <w:rFonts w:hint="eastAsia" w:ascii="宋体" w:hAnsi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cs="宋体"/>
        <w:b/>
        <w:bCs/>
        <w:color w:val="005192"/>
        <w:sz w:val="32"/>
        <w:szCs w:val="32"/>
      </w:rPr>
      <w:t>中华人民共和国国家发展和改革委员会规章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extAlignment w:val="center"/>
      <w:rPr>
        <w:rFonts w:ascii="宋体" w:hAnsi="宋体" w:cs="宋体"/>
        <w:b/>
        <w:bCs/>
        <w:color w:val="005192"/>
        <w:sz w:val="32"/>
      </w:rPr>
    </w:pPr>
  </w:p>
  <w:p>
    <w:pPr>
      <w:pStyle w:val="4"/>
      <w:textAlignment w:val="center"/>
      <w:rPr>
        <w:rFonts w:ascii="宋体" w:hAnsi="宋体" w:cs="宋体"/>
        <w:b/>
        <w:bCs/>
        <w:color w:val="005192"/>
        <w:sz w:val="32"/>
        <w:szCs w:val="32"/>
      </w:rPr>
    </w:pPr>
    <w:r>
      <w:rPr>
        <w:rFonts w:hint="eastAsia" w:ascii="宋体" w:hAnsi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" name="图片 2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cs="宋体"/>
        <w:b/>
        <w:bCs/>
        <w:color w:val="005192"/>
        <w:sz w:val="32"/>
        <w:szCs w:val="32"/>
      </w:rPr>
      <w:t>中华人民共和国国家发展和改革委员会规章</w:t>
    </w:r>
  </w:p>
  <w:p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80" w:lineRule="exact"/>
      <w:textAlignment w:val="center"/>
      <w:rPr>
        <w:rFonts w:ascii="宋体" w:hAnsi="宋体" w:cs="宋体"/>
        <w:b/>
        <w:bCs/>
        <w:color w:val="005192"/>
        <w:sz w:val="32"/>
        <w:szCs w:val="32"/>
      </w:rPr>
    </w:pPr>
    <w:r>
      <w:rPr>
        <w:rFonts w:ascii="宋体" w:hAnsi="宋体" w:cs="宋体"/>
        <w:b/>
        <w:bCs/>
        <w:color w:val="005192"/>
        <w:sz w:val="32"/>
      </w:rPr>
      <w:pict>
        <v:line id="_x0000_s1027" o:spid="_x0000_s1027" o:spt="20" style="position:absolute;left:0pt;margin-left:-0.3pt;margin-top:7.1pt;height:0pt;width:649.65pt;z-index:251662336;mso-width-relative:page;mso-height-relative:page;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LF39WPgBAADLAwAADgAAAGRycy9lMm9Eb2MueG1srVNNbhMx&#10;FN4jcQfLezKTaRPSUSZdNCobBJGgB3A89owl/8nPzSSX4AJI7GDFkj23oRyDZ89QStl0wSw8z37P&#10;3/P3+fP68mg0OYgAytmGzmclJcJy1yrbNfTm/fWLFSUQmW2ZdlY09CSAXm6eP1sPvhaV651uRSAI&#10;YqEefEP7GH1dFMB7YRjMnBcWk9IFwyJOQ1e0gQ2IbnRRleWyGFxofXBcAODqdkzSCTE8BdBJqbjY&#10;On5rhI0jahCaRaQEvfJAN/m0Ugoe30oJIhLdUGQa84hNMN6nsdisWd0F5nvFpyOwpxzhESfDlMWm&#10;91BbFhm5DeofKKN4cOBknHFnipFIVgRZzMtH2rzrmReZC0oN/l50+H+w/M1hF4hq0QmUWGbwwu8+&#10;fvvx4fPP759wvPv6hcyTSIOHGmuv7C5MM/C7kBgfZTDpj1zIsaHn87Oz1QLlPTV0tTxfvZw0FsdI&#10;OOYXy6rEAko4FuRc8QfDB4ivhDMkBQ3Vyib6rGaH1xCxL5b+LknL1l0rrfMVakuGhlb4JWiGvpTo&#10;BwyNR25gO0qY7tDwPIYMCU6rNm1PQBC6/ZUO5MCSTcrF/KJKpLHdX2Wp95ZBP9bl1GggoyK+Ca0M&#10;ci7TN+3WNqGL7MOJQRJylC5Fe9eesqJFmuEd56aTH5OJHs4xfvgGN7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1EdA1tUAAAAJAQAADwAAAAAAAAABACAAAAAiAAAAZHJzL2Rvd25yZXYueG1sUEsB&#10;AhQAFAAAAAgAh07iQCxd/Vj4AQAAywMAAA4AAAAAAAAAAQAgAAAAJAEAAGRycy9lMm9Eb2MueG1s&#10;UEsFBgAAAAAGAAYAWQEAAI4FAAAAAA==&#10;">
          <v:path arrowok="t"/>
          <v:fill focussize="0,0"/>
          <v:stroke weight="1.75pt" color="#005192" joinstyle="miter"/>
          <v:imagedata o:title=""/>
          <o:lock v:ext="edit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VjMDBhODM5Y2NlMTk0ZGE3YzhhNjJmMzg1ZmQ1YjYifQ=="/>
  </w:docVars>
  <w:rsids>
    <w:rsidRoot w:val="587F3DAC"/>
    <w:rsid w:val="00C168EA"/>
    <w:rsid w:val="00C30D1C"/>
    <w:rsid w:val="00D732E3"/>
    <w:rsid w:val="04FB210B"/>
    <w:rsid w:val="06BF6399"/>
    <w:rsid w:val="0CD93189"/>
    <w:rsid w:val="0CE37FAE"/>
    <w:rsid w:val="16B85F5B"/>
    <w:rsid w:val="1D042511"/>
    <w:rsid w:val="28567AA3"/>
    <w:rsid w:val="385459AF"/>
    <w:rsid w:val="3A115D57"/>
    <w:rsid w:val="3FE6630A"/>
    <w:rsid w:val="42647BDB"/>
    <w:rsid w:val="4731303D"/>
    <w:rsid w:val="4CDD14CE"/>
    <w:rsid w:val="4E403759"/>
    <w:rsid w:val="57821E3F"/>
    <w:rsid w:val="587F3DAC"/>
    <w:rsid w:val="5D7221CC"/>
    <w:rsid w:val="74BA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Table Paragraph"/>
    <w:basedOn w:val="1"/>
    <w:qFormat/>
    <w:uiPriority w:val="1"/>
    <w:pPr>
      <w:spacing w:before="3"/>
      <w:ind w:left="107"/>
    </w:pPr>
    <w:rPr>
      <w:rFonts w:ascii="仿宋_GB2312" w:hAnsi="仿宋_GB2312" w:eastAsia="仿宋_GB2312" w:cs="仿宋_GB2312"/>
      <w:lang w:val="zh-CN" w:bidi="zh-CN"/>
    </w:rPr>
  </w:style>
  <w:style w:type="character" w:customStyle="1" w:styleId="10">
    <w:name w:val="批注框文本 Char"/>
    <w:basedOn w:val="7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9"/>
    <customShpInfo spid="_x0000_s1028"/>
    <customShpInfo spid="_x0000_s1027"/>
    <customShpInfo spid="_x0000_s1032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831</Words>
  <Characters>907</Characters>
  <Lines>7</Lines>
  <Paragraphs>2</Paragraphs>
  <TotalTime>4</TotalTime>
  <ScaleCrop>false</ScaleCrop>
  <LinksUpToDate>false</LinksUpToDate>
  <CharactersWithSpaces>909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2021-11-23T02:31:00Z</dcterms:created>
  <dc:creator>Administrator</dc:creator>
  <cp:lastModifiedBy>椿晖</cp:lastModifiedBy>
  <dcterms:modified xsi:type="dcterms:W3CDTF">2022-08-26T05:49:49Z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03A3FB4E187A40C5ACDA6A2E1B97BB21</vt:lpwstr>
  </property>
</Properties>
</file>