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cstheme="minorEastAsia"/>
          <w:color w:val="auto"/>
          <w:sz w:val="44"/>
          <w:szCs w:val="44"/>
        </w:rPr>
      </w:pPr>
    </w:p>
    <w:p>
      <w:pPr>
        <w:jc w:val="center"/>
        <w:rPr>
          <w:rFonts w:asciiTheme="minorEastAsia" w:hAnsiTheme="minorEastAsia" w:cstheme="minorEastAsia"/>
          <w:color w:val="auto"/>
          <w:sz w:val="44"/>
          <w:szCs w:val="44"/>
        </w:rPr>
      </w:pPr>
    </w:p>
    <w:p>
      <w:pPr>
        <w:jc w:val="center"/>
        <w:rPr>
          <w:rFonts w:hint="eastAsia" w:asciiTheme="minorEastAsia" w:hAnsiTheme="minorEastAsia" w:cstheme="minorEastAsia"/>
          <w:color w:val="auto"/>
          <w:sz w:val="44"/>
          <w:szCs w:val="44"/>
        </w:rPr>
      </w:pPr>
      <w:r>
        <w:rPr>
          <w:rFonts w:hint="eastAsia" w:asciiTheme="minorEastAsia" w:hAnsiTheme="minorEastAsia" w:cstheme="minorEastAsia"/>
          <w:color w:val="auto"/>
          <w:sz w:val="44"/>
          <w:szCs w:val="44"/>
        </w:rPr>
        <w:t>国家发展改革委关于进一步完善</w:t>
      </w:r>
    </w:p>
    <w:p>
      <w:pPr>
        <w:jc w:val="center"/>
        <w:rPr>
          <w:rFonts w:ascii="宋体" w:hAnsi="宋体" w:eastAsia="宋体" w:cs="宋体"/>
          <w:color w:val="auto"/>
          <w:sz w:val="36"/>
          <w:szCs w:val="36"/>
          <w:shd w:val="clear" w:color="auto" w:fill="FFFFFF"/>
        </w:rPr>
      </w:pPr>
      <w:r>
        <w:rPr>
          <w:rFonts w:hint="eastAsia" w:asciiTheme="minorEastAsia" w:hAnsiTheme="minorEastAsia" w:cstheme="minorEastAsia"/>
          <w:color w:val="auto"/>
          <w:sz w:val="44"/>
          <w:szCs w:val="44"/>
        </w:rPr>
        <w:t>成品油价格形成机制的通知</w:t>
      </w:r>
    </w:p>
    <w:p>
      <w:pPr>
        <w:ind w:firstLine="640" w:firstLineChars="200"/>
        <w:rPr>
          <w:rFonts w:ascii="楷体_GB2312" w:hAnsi="楷体_GB2312" w:eastAsia="楷体_GB2312" w:cs="楷体_GB2312"/>
          <w:color w:val="auto"/>
          <w:sz w:val="32"/>
          <w:szCs w:val="32"/>
          <w:shd w:val="clear" w:color="auto" w:fill="FFFFFF"/>
        </w:rPr>
      </w:pPr>
      <w:r>
        <w:rPr>
          <w:rFonts w:hint="eastAsia" w:ascii="楷体_GB2312" w:hAnsi="楷体_GB2312" w:eastAsia="楷体_GB2312" w:cs="楷体_GB2312"/>
          <w:color w:val="auto"/>
          <w:sz w:val="32"/>
          <w:szCs w:val="32"/>
          <w:shd w:val="clear" w:color="auto" w:fill="FFFFFF"/>
          <w:lang w:val="en-US" w:eastAsia="zh-CN"/>
        </w:rPr>
        <w:t>(</w:t>
      </w:r>
      <w:r>
        <w:rPr>
          <w:rFonts w:hint="eastAsia" w:ascii="楷体_GB2312" w:hAnsi="楷体_GB2312" w:eastAsia="楷体_GB2312" w:cs="楷体_GB2312"/>
          <w:color w:val="auto"/>
          <w:sz w:val="32"/>
          <w:szCs w:val="32"/>
          <w:shd w:val="clear" w:color="auto" w:fill="FFFFFF"/>
        </w:rPr>
        <w:t>发改价格〔2013〕624号  2013年3月26日印发)</w:t>
      </w:r>
    </w:p>
    <w:p>
      <w:pPr>
        <w:ind w:firstLine="640" w:firstLineChars="200"/>
        <w:rPr>
          <w:rFonts w:ascii="仿宋_GB2312" w:hAnsi="宋体" w:eastAsia="仿宋_GB2312" w:cs="宋体"/>
          <w:color w:val="auto"/>
          <w:sz w:val="32"/>
          <w:szCs w:val="32"/>
          <w:shd w:val="clear" w:color="auto" w:fill="FFFFFF"/>
        </w:rPr>
      </w:pPr>
    </w:p>
    <w:p>
      <w:pPr>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各省、自治区、直辖市、新疆生产建设兵团发展改革委、物价局，中国石油天然气集团公司、中国石油化工集团公司、中国海洋石油总公司：</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2008年12月，国家出台了成品油价格和税费改革方案。4年多来，根据成品油价格和税费改革确定的原则和方向，国家对成品油价格进行了10降15升共25次调整，基本理顺了成品油价格关系。总体看，现行机制运行顺畅，效果显著，保证了成品油市场正常供应，促进了成品油市场有序竞争，增强了企业可持续发展能力，提高了群众节油意识，避免了成品油市场价格大起大落，为促进经济社会持续健康发展发挥了积极作用。但现行机制在运行过程中也暴露出调价周期过长，难以灵敏地反映国际市场油价变化，容易产生投机套利行为等问题。为此，决定进一步完善成品油价格形成机制，现就有关事项通知如下：</w:t>
      </w:r>
    </w:p>
    <w:p>
      <w:pPr>
        <w:ind w:firstLine="640" w:firstLineChars="200"/>
        <w:rPr>
          <w:rFonts w:hint="eastAsia"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一、完善成品油价格形成机制的主要内容</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楷体" w:hAnsi="楷体" w:eastAsia="楷体" w:cs="仿宋_GB2312"/>
          <w:color w:val="auto"/>
          <w:sz w:val="32"/>
          <w:szCs w:val="32"/>
          <w:shd w:val="clear" w:color="auto" w:fill="FFFFFF"/>
        </w:rPr>
        <w:t>（一）缩短调价周期。</w:t>
      </w:r>
      <w:r>
        <w:rPr>
          <w:rFonts w:hint="eastAsia" w:ascii="仿宋_GB2312" w:hAnsi="仿宋_GB2312" w:eastAsia="仿宋_GB2312" w:cs="仿宋_GB2312"/>
          <w:color w:val="auto"/>
          <w:sz w:val="32"/>
          <w:szCs w:val="32"/>
          <w:shd w:val="clear" w:color="auto" w:fill="FFFFFF"/>
        </w:rPr>
        <w:t>将成品油计价和调价周期由现行22个工作日缩短至10个工作日，并取消上下4％的幅度限制。</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为节约社会成本，当汽、柴油调价幅度低于每吨50元时，不作调整，纳入下次调价时累加或冲抵。</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楷体" w:hAnsi="楷体" w:eastAsia="楷体" w:cs="仿宋_GB2312"/>
          <w:color w:val="auto"/>
          <w:sz w:val="32"/>
          <w:szCs w:val="32"/>
          <w:shd w:val="clear" w:color="auto" w:fill="FFFFFF"/>
        </w:rPr>
        <w:t>（二）调整国内成品油价格挂靠油种。</w:t>
      </w:r>
      <w:r>
        <w:rPr>
          <w:rFonts w:hint="eastAsia" w:ascii="仿宋_GB2312" w:hAnsi="仿宋_GB2312" w:eastAsia="仿宋_GB2312" w:cs="仿宋_GB2312"/>
          <w:color w:val="auto"/>
          <w:sz w:val="32"/>
          <w:szCs w:val="32"/>
          <w:shd w:val="clear" w:color="auto" w:fill="FFFFFF"/>
        </w:rPr>
        <w:t>根据进口原油结构及国际市场原油贸易变化，相应调整了国内成品油价格挂靠油种。</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楷体" w:hAnsi="楷体" w:eastAsia="楷体" w:cs="仿宋_GB2312"/>
          <w:color w:val="auto"/>
          <w:sz w:val="32"/>
          <w:szCs w:val="32"/>
          <w:shd w:val="clear" w:color="auto" w:fill="FFFFFF"/>
        </w:rPr>
        <w:t>（三）完善价格调控程序。</w:t>
      </w:r>
      <w:r>
        <w:rPr>
          <w:rFonts w:hint="eastAsia" w:ascii="仿宋_GB2312" w:hAnsi="仿宋_GB2312" w:eastAsia="仿宋_GB2312" w:cs="仿宋_GB2312"/>
          <w:color w:val="auto"/>
          <w:sz w:val="32"/>
          <w:szCs w:val="32"/>
          <w:shd w:val="clear" w:color="auto" w:fill="FFFFFF"/>
        </w:rPr>
        <w:t>当国内价格总水平出现显著上涨或发生重大突发事件，以及国际市场油价短时内出现剧烈波动等特殊情形需对成品油价格进行调控时，依法采取临时调控措施，由国家发展改革委报请国务院批准后，可以暂停、延迟调价，或缩小调价幅度。当特殊情形消除后，由国家发展改革委报请国务院批准，价格机制正常运行。</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按照上述相关完善意见，对《石油价格管理办法（试行）》第六</w:t>
      </w:r>
      <w:r>
        <w:rPr>
          <w:rFonts w:hint="eastAsia" w:ascii="仿宋_GB2312" w:hAnsi="仿宋_GB2312" w:eastAsia="仿宋_GB2312" w:cs="仿宋_GB2312"/>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rPr>
        <w:t>作相应修改，</w:t>
      </w:r>
      <w:bookmarkStart w:id="0" w:name="_GoBack"/>
      <w:bookmarkEnd w:id="0"/>
      <w:r>
        <w:rPr>
          <w:rFonts w:hint="eastAsia" w:ascii="仿宋_GB2312" w:hAnsi="仿宋_GB2312" w:eastAsia="仿宋_GB2312" w:cs="仿宋_GB2312"/>
          <w:color w:val="auto"/>
          <w:sz w:val="32"/>
          <w:szCs w:val="32"/>
          <w:shd w:val="clear" w:color="auto" w:fill="FFFFFF"/>
        </w:rPr>
        <w:t>具体见附件。</w:t>
      </w:r>
    </w:p>
    <w:p>
      <w:pPr>
        <w:ind w:firstLine="640" w:firstLineChars="200"/>
        <w:rPr>
          <w:rFonts w:hint="eastAsia"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二、做好相关配套工作</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楷体" w:hAnsi="楷体" w:eastAsia="楷体" w:cs="仿宋_GB2312"/>
          <w:color w:val="auto"/>
          <w:sz w:val="32"/>
          <w:szCs w:val="32"/>
          <w:shd w:val="clear" w:color="auto" w:fill="FFFFFF"/>
        </w:rPr>
        <w:t>（一）完善补贴和价格联动机制。</w:t>
      </w:r>
      <w:r>
        <w:rPr>
          <w:rFonts w:hint="eastAsia" w:ascii="仿宋_GB2312" w:hAnsi="仿宋_GB2312" w:eastAsia="仿宋_GB2312" w:cs="仿宋_GB2312"/>
          <w:color w:val="auto"/>
          <w:sz w:val="32"/>
          <w:szCs w:val="32"/>
          <w:shd w:val="clear" w:color="auto" w:fill="FFFFFF"/>
        </w:rPr>
        <w:t>成品油价格调整周期缩短后，相应完善对种粮农民、渔业（含远洋渔业）、林业、城市公交、农村道路客运（含岛际和农村水路客运）等部分困难群体和公益性行业的补贴机制，并完善保障城乡部分困难群体基本生活的相关政策措施。各地要进一步完善油运价格联动机制，在运价调整前继续给予出租车临时补贴，妥善处理对出租车和公路客运行业的影响。同时，要严格贯彻落实《关于进一步促进道路运输行业健康稳定发展的通知》（国办发〔2011〕63号）有关规定，采取多种措施，切实维护交通运输行业和社会稳定。</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楷体" w:hAnsi="楷体" w:eastAsia="楷体" w:cs="仿宋_GB2312"/>
          <w:color w:val="auto"/>
          <w:sz w:val="32"/>
          <w:szCs w:val="32"/>
          <w:shd w:val="clear" w:color="auto" w:fill="FFFFFF"/>
        </w:rPr>
        <w:t>（二）确保成品油供应和市场秩序稳定。</w:t>
      </w:r>
      <w:r>
        <w:rPr>
          <w:rFonts w:hint="eastAsia" w:ascii="仿宋_GB2312" w:hAnsi="仿宋_GB2312" w:eastAsia="仿宋_GB2312" w:cs="仿宋_GB2312"/>
          <w:color w:val="auto"/>
          <w:sz w:val="32"/>
          <w:szCs w:val="32"/>
          <w:shd w:val="clear" w:color="auto" w:fill="FFFFFF"/>
        </w:rPr>
        <w:t>中石油、中石化、中海油公司要继续发挥石油企业内部上下游利益调节机制，组织好成品油生产和调运，保持合理库存，加强综合协调和应急调度，保障成品油市场稳定供应。各地要加强成品油市场监管，严厉打击油品走私和偷漏税行为，加强成品油质量和价格监督检查，从严查处无证照经营、超范围经营、经营假冒伪劣油品等违法行为，严厉打击价格违法行为，维护成品油市场正常秩序。</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楷体" w:hAnsi="楷体" w:eastAsia="楷体" w:cs="仿宋_GB2312"/>
          <w:color w:val="auto"/>
          <w:sz w:val="32"/>
          <w:szCs w:val="32"/>
          <w:shd w:val="clear" w:color="auto" w:fill="FFFFFF"/>
        </w:rPr>
        <w:t>（三）加强宣传解释工作。</w:t>
      </w:r>
      <w:r>
        <w:rPr>
          <w:rFonts w:hint="eastAsia" w:ascii="仿宋_GB2312" w:hAnsi="仿宋_GB2312" w:eastAsia="仿宋_GB2312" w:cs="仿宋_GB2312"/>
          <w:color w:val="auto"/>
          <w:sz w:val="32"/>
          <w:szCs w:val="32"/>
          <w:shd w:val="clear" w:color="auto" w:fill="FFFFFF"/>
        </w:rPr>
        <w:t>各地要结合本地实际情况，加强舆论引导，做好宣传解释工作，争取群众的理解和支持，为改革的顺利实施创造有利的舆论环境。</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楷体" w:hAnsi="楷体" w:eastAsia="楷体" w:cs="仿宋_GB2312"/>
          <w:color w:val="auto"/>
          <w:sz w:val="32"/>
          <w:szCs w:val="32"/>
          <w:shd w:val="clear" w:color="auto" w:fill="FFFFFF"/>
        </w:rPr>
        <w:t>（四）加强监测和评估。</w:t>
      </w:r>
      <w:r>
        <w:rPr>
          <w:rFonts w:hint="eastAsia" w:ascii="仿宋_GB2312" w:hAnsi="仿宋_GB2312" w:eastAsia="仿宋_GB2312" w:cs="仿宋_GB2312"/>
          <w:color w:val="auto"/>
          <w:sz w:val="32"/>
          <w:szCs w:val="32"/>
          <w:shd w:val="clear" w:color="auto" w:fill="FFFFFF"/>
        </w:rPr>
        <w:t>要密切监测新机制运行情况，及时进行总结和评估，必要时报请国务院同意后作适当调整，确保其平稳运行。</w:t>
      </w:r>
    </w:p>
    <w:p>
      <w:pPr>
        <w:ind w:firstLine="640" w:firstLineChars="200"/>
        <w:rPr>
          <w:rFonts w:hint="eastAsia"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三、完善后的价格机制自发文之日起实施。</w:t>
      </w:r>
    </w:p>
    <w:p>
      <w:pPr>
        <w:ind w:firstLine="640" w:firstLineChars="200"/>
        <w:rPr>
          <w:rFonts w:hint="eastAsia" w:ascii="黑体" w:hAnsi="黑体" w:eastAsia="黑体" w:cs="仿宋_GB2312"/>
          <w:color w:val="auto"/>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附件</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《石油价格管理办法（试行）》</w:t>
      </w:r>
    </w:p>
    <w:p>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_GB2312" w:hAnsi="仿宋_GB2312" w:eastAsia="仿宋_GB2312" w:cs="仿宋_GB2312"/>
          <w:color w:val="auto"/>
          <w:sz w:val="32"/>
          <w:szCs w:val="32"/>
          <w:shd w:val="clear" w:color="auto" w:fill="FFFFFF"/>
        </w:rPr>
      </w:pPr>
    </w:p>
    <w:p>
      <w:pPr>
        <w:keepNext w:val="0"/>
        <w:keepLines w:val="0"/>
        <w:pageBreakBefore w:val="0"/>
        <w:widowControl w:val="0"/>
        <w:kinsoku/>
        <w:wordWrap w:val="0"/>
        <w:overflowPunct/>
        <w:topLinePunct w:val="0"/>
        <w:autoSpaceDE/>
        <w:autoSpaceDN/>
        <w:bidi w:val="0"/>
        <w:adjustRightInd/>
        <w:snapToGrid/>
        <w:ind w:firstLine="640" w:firstLineChars="200"/>
        <w:jc w:val="right"/>
        <w:textAlignment w:val="auto"/>
        <w:outlineLvl w:val="9"/>
        <w:rPr>
          <w:rFonts w:hint="eastAsia" w:ascii="仿宋_GB2312" w:hAnsi="仿宋_GB2312" w:eastAsia="仿宋_GB2312" w:cs="仿宋_GB2312"/>
          <w:color w:val="auto"/>
          <w:sz w:val="32"/>
          <w:szCs w:val="32"/>
          <w:shd w:val="clear" w:color="auto" w:fill="FFFFFF"/>
          <w:lang w:val="en-US" w:eastAsia="zh-CN"/>
        </w:rPr>
      </w:pPr>
      <w:r>
        <w:rPr>
          <w:rFonts w:hint="eastAsia" w:ascii="仿宋_GB2312" w:hAnsi="仿宋_GB2312" w:eastAsia="仿宋_GB2312" w:cs="仿宋_GB2312"/>
          <w:color w:val="auto"/>
          <w:sz w:val="32"/>
          <w:szCs w:val="32"/>
          <w:shd w:val="clear" w:color="auto" w:fill="FFFFFF"/>
          <w:lang w:eastAsia="zh-CN"/>
        </w:rPr>
        <w:t>国家发展改革委</w:t>
      </w:r>
      <w:r>
        <w:rPr>
          <w:rFonts w:hint="eastAsia" w:ascii="仿宋_GB2312" w:hAnsi="仿宋_GB2312" w:eastAsia="仿宋_GB2312" w:cs="仿宋_GB2312"/>
          <w:color w:val="auto"/>
          <w:sz w:val="32"/>
          <w:szCs w:val="32"/>
          <w:shd w:val="clear" w:color="auto" w:fill="FFFFFF"/>
          <w:lang w:val="en-US" w:eastAsia="zh-CN"/>
        </w:rPr>
        <w:t xml:space="preserve">  </w:t>
      </w:r>
    </w:p>
    <w:p>
      <w:pPr>
        <w:ind w:firstLine="6240" w:firstLineChars="1950"/>
        <w:rPr>
          <w:rFonts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201</w:t>
      </w: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年</w:t>
      </w: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月2</w:t>
      </w:r>
      <w:r>
        <w:rPr>
          <w:rFonts w:hint="eastAsia" w:ascii="仿宋_GB2312" w:hAnsi="仿宋_GB2312" w:eastAsia="仿宋_GB2312" w:cs="仿宋_GB2312"/>
          <w:color w:val="auto"/>
          <w:sz w:val="32"/>
          <w:szCs w:val="32"/>
          <w:shd w:val="clear" w:color="auto" w:fill="FFFFFF"/>
          <w:lang w:val="en-US" w:eastAsia="zh-CN"/>
        </w:rPr>
        <w:t>6</w:t>
      </w:r>
      <w:r>
        <w:rPr>
          <w:rFonts w:hint="eastAsia" w:ascii="仿宋_GB2312" w:hAnsi="仿宋_GB2312" w:eastAsia="仿宋_GB2312" w:cs="仿宋_GB2312"/>
          <w:color w:val="auto"/>
          <w:sz w:val="32"/>
          <w:szCs w:val="32"/>
          <w:shd w:val="clear" w:color="auto" w:fill="FFFFFF"/>
        </w:rPr>
        <w:t>日</w:t>
      </w:r>
    </w:p>
    <w:p>
      <w:pPr>
        <w:ind w:firstLine="640" w:firstLineChars="200"/>
        <w:rPr>
          <w:rFonts w:hint="eastAsia" w:ascii="仿宋_GB2312" w:hAnsi="仿宋_GB2312" w:eastAsia="仿宋_GB2312" w:cs="仿宋_GB2312"/>
          <w:color w:val="auto"/>
          <w:sz w:val="32"/>
          <w:szCs w:val="32"/>
          <w:shd w:val="clear" w:color="auto" w:fill="FFFFFF"/>
        </w:rPr>
      </w:pPr>
    </w:p>
    <w:p>
      <w:pPr>
        <w:ind w:firstLine="640" w:firstLineChars="200"/>
        <w:rPr>
          <w:rFonts w:hint="eastAsia" w:ascii="仿宋_GB2312" w:hAnsi="仿宋_GB2312" w:eastAsia="仿宋_GB2312" w:cs="仿宋_GB2312"/>
          <w:color w:val="auto"/>
          <w:sz w:val="32"/>
          <w:szCs w:val="32"/>
          <w:shd w:val="clear" w:color="auto" w:fill="FFFFFF"/>
        </w:rPr>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pPr>
    </w:p>
    <w:p>
      <w:pPr>
        <w:rPr>
          <w:rFonts w:ascii="黑体" w:hAnsi="黑体" w:eastAsia="黑体" w:cs="仿宋_GB2312"/>
          <w:color w:val="auto"/>
          <w:sz w:val="32"/>
          <w:szCs w:val="32"/>
          <w:shd w:val="clear" w:color="auto" w:fill="FFFFFF"/>
        </w:rPr>
      </w:pPr>
      <w:r>
        <w:rPr>
          <w:rFonts w:hint="eastAsia" w:ascii="黑体" w:hAnsi="黑体" w:eastAsia="黑体" w:cs="仿宋_GB2312"/>
          <w:color w:val="auto"/>
          <w:sz w:val="32"/>
          <w:szCs w:val="32"/>
          <w:shd w:val="clear" w:color="auto" w:fill="FFFFFF"/>
        </w:rPr>
        <w:t>附件</w:t>
      </w:r>
    </w:p>
    <w:p>
      <w:pPr>
        <w:ind w:firstLine="640" w:firstLineChars="200"/>
        <w:rPr>
          <w:rFonts w:ascii="仿宋_GB2312" w:hAnsi="仿宋_GB2312" w:eastAsia="仿宋_GB2312" w:cs="仿宋_GB2312"/>
          <w:color w:val="auto"/>
          <w:sz w:val="32"/>
          <w:szCs w:val="32"/>
          <w:shd w:val="clear" w:color="auto" w:fill="FFFFFF"/>
        </w:rPr>
      </w:pPr>
    </w:p>
    <w:p>
      <w:pPr>
        <w:jc w:val="center"/>
        <w:rPr>
          <w:rFonts w:hint="eastAsia" w:ascii="仿宋_GB2312" w:hAnsi="仿宋_GB2312" w:cs="仿宋_GB2312" w:eastAsiaTheme="minorEastAsia"/>
          <w:color w:val="auto"/>
          <w:sz w:val="32"/>
          <w:szCs w:val="32"/>
          <w:shd w:val="clear" w:color="auto" w:fill="FFFFFF"/>
          <w:lang w:val="en-US" w:eastAsia="zh-CN"/>
        </w:rPr>
      </w:pPr>
      <w:r>
        <w:rPr>
          <w:rFonts w:hint="eastAsia" w:asciiTheme="minorEastAsia" w:hAnsiTheme="minorEastAsia" w:cstheme="minorEastAsia"/>
          <w:color w:val="auto"/>
          <w:sz w:val="44"/>
          <w:szCs w:val="44"/>
        </w:rPr>
        <w:t>石油价格管理办法（试行）</w:t>
      </w:r>
    </w:p>
    <w:p>
      <w:pPr>
        <w:ind w:firstLine="640" w:firstLineChars="200"/>
        <w:rPr>
          <w:rFonts w:ascii="仿宋_GB2312" w:hAnsi="仿宋_GB2312" w:eastAsia="仿宋_GB2312" w:cs="仿宋_GB2312"/>
          <w:color w:val="auto"/>
          <w:sz w:val="32"/>
          <w:szCs w:val="32"/>
          <w:shd w:val="clear" w:color="auto" w:fill="FFFFFF"/>
        </w:rPr>
      </w:pP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黑体" w:hAnsi="黑体" w:eastAsia="黑体" w:cs="黑体"/>
          <w:color w:val="auto"/>
          <w:sz w:val="32"/>
          <w:szCs w:val="32"/>
          <w:shd w:val="clear" w:color="auto" w:fill="FFFFFF"/>
        </w:rPr>
        <w:t>第一</w:t>
      </w:r>
      <w:r>
        <w:rPr>
          <w:rFonts w:hint="eastAsia" w:ascii="黑体" w:hAnsi="黑体" w:eastAsia="黑体" w:cs="黑体"/>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为完善我国石油价格形成机制，规范价格行为，根据《国务院关于实施成品油价格和税费改革的通知》（国发〔2008〕37号）的有关规定，制定本办法。</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黑体"/>
          <w:color w:val="auto"/>
          <w:sz w:val="32"/>
          <w:szCs w:val="32"/>
          <w:shd w:val="clear" w:color="auto" w:fill="FFFFFF"/>
        </w:rPr>
        <w:t>第二</w:t>
      </w:r>
      <w:r>
        <w:rPr>
          <w:rFonts w:hint="eastAsia" w:ascii="仿宋_GB2312" w:hAnsi="仿宋_GB2312" w:eastAsia="黑体" w:cs="黑体"/>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本办法所称石油包括原油以及由原油炼制的汽油、柴油、航空煤油和航空汽油等成品油。</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黑体"/>
          <w:color w:val="auto"/>
          <w:sz w:val="32"/>
          <w:szCs w:val="32"/>
          <w:shd w:val="clear" w:color="auto" w:fill="FFFFFF"/>
        </w:rPr>
        <w:t>第三</w:t>
      </w:r>
      <w:r>
        <w:rPr>
          <w:rFonts w:hint="eastAsia" w:ascii="仿宋_GB2312" w:hAnsi="仿宋_GB2312" w:eastAsia="黑体" w:cs="黑体"/>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在我国从事石油生产、批发和零售的企业，应遵守本办法。</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黑体"/>
          <w:color w:val="auto"/>
          <w:sz w:val="32"/>
          <w:szCs w:val="32"/>
          <w:shd w:val="clear" w:color="auto" w:fill="FFFFFF"/>
        </w:rPr>
        <w:t>第四</w:t>
      </w:r>
      <w:r>
        <w:rPr>
          <w:rFonts w:hint="eastAsia" w:ascii="仿宋_GB2312" w:hAnsi="仿宋_GB2312" w:eastAsia="黑体" w:cs="黑体"/>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原油价格由企业参照国际市场价格自主制定。中国石油化工集团公司（以下简称中石化）和中国石油天然气集团公司（以下简称中石油）之间互供原油价格由购销双方按国产陆上原油运达炼厂的成本与国际市场进口原油到厂成本相当的原则协商确定。中石化、中石油供地方炼厂的原油价格参照两个集团公司之间互供价格制定。中国海洋石油总公司及其他企业生产的原油价格参照国际市场价格由企业自主制定。</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黑体"/>
          <w:color w:val="auto"/>
          <w:sz w:val="32"/>
          <w:szCs w:val="32"/>
          <w:shd w:val="clear" w:color="auto" w:fill="FFFFFF"/>
        </w:rPr>
        <w:t>第五</w:t>
      </w:r>
      <w:r>
        <w:rPr>
          <w:rFonts w:hint="eastAsia" w:ascii="仿宋_GB2312" w:hAnsi="仿宋_GB2312" w:eastAsia="黑体" w:cs="黑体"/>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成品油价格区别情况，实行政府指导价或政府定价。</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（一）汽、柴油零售价格和批发价格，以及供应社会批发企业、铁路、交通等专项用户汽、柴油供应价格实行政府指导价；</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（二）国家储备和新疆生产建设兵团用汽、柴油供应价格，以及航空汽油、航空煤油出厂价格实行政府定价。</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黑体"/>
          <w:color w:val="auto"/>
          <w:sz w:val="32"/>
          <w:szCs w:val="32"/>
          <w:shd w:val="clear" w:color="auto" w:fill="FFFFFF"/>
        </w:rPr>
        <w:t>第六</w:t>
      </w:r>
      <w:r>
        <w:rPr>
          <w:rFonts w:hint="eastAsia" w:ascii="仿宋_GB2312" w:hAnsi="仿宋_GB2312" w:eastAsia="黑体" w:cs="黑体"/>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汽、柴油价格根据国际市场原油价格变化每10个工作日调整一次。调价生效时间为调价发布日24时。</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当调价幅度低于每吨50元时，不作调整，纳入下次调价时累加或冲抵。</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当国内价格总水平出现显著上涨或发生重大突发事件，以及国际市场油价短时内出现剧烈波动等特殊情形需对成品油价格进行调控时，由国家发展改革委报请国务院同意后，可以暂停、延迟调价，或缩小调价幅度。特殊情形结束后，由国家发展改革委报请国务院同意，成品油价格调整继续按照本办法确定的规则执行。</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黑体"/>
          <w:color w:val="auto"/>
          <w:sz w:val="32"/>
          <w:szCs w:val="32"/>
          <w:shd w:val="clear" w:color="auto" w:fill="FFFFFF"/>
        </w:rPr>
        <w:t>第七</w:t>
      </w:r>
      <w:r>
        <w:rPr>
          <w:rFonts w:hint="eastAsia" w:ascii="仿宋_GB2312" w:hAnsi="仿宋_GB2312" w:eastAsia="黑体" w:cs="黑体"/>
          <w:color w:val="auto"/>
          <w:sz w:val="32"/>
          <w:szCs w:val="32"/>
          <w:shd w:val="clear" w:color="auto" w:fill="FFFFFF"/>
          <w:lang w:eastAsia="zh-CN"/>
        </w:rPr>
        <w:t>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当国际市场原油价格低于每桶80美元时，按正常加工利润率计算成品油价格。高于每桶80美元时，开始扣减加工利润率，直至按加工零利润计算成品油价格。高于每桶130美元时，按照兼顾生产者、消费者利益，保持国民经济平稳运行的原则，采取适当财税政策保证成品油生产和供应，汽、柴油价格原则上不提或少提。</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第八条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国家发展改革委制定各省（自治区、直辖市）或中心城市汽、柴油最高零售价格。汽、柴油最高零售价格以国际市场原油价格为基础，考虑国内平均加工成本、税金、合理流通环节费用和适当利润确定。国家发展改革委根据实际情况，适时调整有关成本费用参数。</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已实行全省统一价格的地区，执行国家发展改革委制定的全省统一最高零售价格。暂未实行全省统一价格的地区，由省级价格主管部门以国家发展改革委制定的中心城市最高零售价格为基础，考虑运杂费增减因素合理安排省内非中心城市最高零售价格。省内划分的价区原则上不超过3个，价区之间的价差原则上每吨不大于100元。省际之间价差较大的应适当衔接。省级价格主管部门要将省内价区具体安排报国家发展改革委备案。</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成品油零售企业可在不超过政府规定的汽、柴油最高零售价格的前提下，自主制定具体零售价格。</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第九条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国家发展改革委制定汽、柴油吨升折算原则。省级价格主管部门会同有关部门依据国家确定的折算原则制定当地汽、柴油吨升折算系数。在此基础上，省级价格主管部门制定当地以升为单位的汽、柴油最高零售价格。</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成品油批发企业销售给零售企业的汽、柴油最高批发价格，合同约定由供方配送到零售企业的，由省级价格主管部门按最高零售价格每吨扣减300元确定；合同未约定配送的，最高批发价格由省级价格主管部门在扣减300元的基础上，再考虑运杂费因素确定。成品油批发企业可在不超过汽、柴油最高批发价格的前提下，与零售企业协商确定具体批发价格。当市场零售价格降低时，批发价格也要相应降低，合同约定配送的，保持批零价差每吨不小于300元；合同未约定配送的，扣除运杂费后，保持批零价差每吨不小于300元。凡合同约定配送的，不得另外收取运杂费；未约定配送的，不得强制配送。</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成品油生产经营企业供给符合国家规定资质的社会批发企业汽、柴油最高供应价格，按最高零售价格扣减400元确定。当市场零售价格降低时，对社会批发企业供应价格相应降低，保持批零价差每吨不小于400元。</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第十一条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铁路、交通等专项用户用汽、柴油最高供应价格，在全国平均最高零售价格基础上每吨扣减400元确定。具体供应价格可在不超过最高供应价格的前提下，由供需双方协商确定。当市场零售价格降低时，对专项用户供应价格相应降低。</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专项用户是指历史上已形成独立供油系统的大用户，具体名单由国家发展改革委确定。</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第十二条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国家发展改革委制定国家储备、新疆生产建设兵团用汽、柴油供应价格以及航空汽油出厂价格。</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第十三条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本办法第八至十二条汽油、柴油、航空汽油价格均指标准品价格。</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国家发展改革委制定成品油标准品与非标准品的品质比率。省级价格主管部门按规定的品质比率制定汽、柴油非标准品最高批发价格和最高零售价格；成品油生产经营企业按规定的品质比率制定国家储备、新疆生产建设兵团用汽、柴油非标准品供应价格，供应社会批发企业、铁道、交通等专项用户汽、柴油非标准品最高供应价格，以及航空汽油非标准品出厂价格。</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第十四条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乙醇汽油价格政策按同一市场同标号普通汽油价格政策执行。</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第十五条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国家发展改革委按与国际市场接轨的原则制定成品油生产企业销售的航空煤油标准品出厂价格。非标准品出厂价格由生产企业按标准品出厂价格和规定的品质比率自行确定。</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第十六条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成品油批发、零售企业要在显著位置标识成品油的品名、规格、计价单位、价格等信息。销售企业在销售成品油时，不得以其它名目在国家规定的成品油价格之外加收或代收任何费用。</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第十七条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国家发展改革委在门户网站公布按吨计算的汽、柴油标准品最高零售价格，国家储备、新疆生产建设兵团用汽、柴油供应价格，专项用户用汽、柴油最高供应价格；省级价格主管部门在指定网站公布本地区汽、柴油标准品和非标准品最高批发价格和最高零售价格；主要成品油生产经营企业通过所在地新闻媒体公布本公司的汽、柴油具体批发价格和零售价格。成品油生产经营企业调整汽、柴油出厂价格、供应价格、批发价格和零售价格的同时，将调价具体方案抄报国家发展改革委和有关省级价格主管部门。</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第十八条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价格主管部门依法对成品油生产、批发和零售企业的价格活动进行检查，并依照法律法规规定对价格违法行为实施行政处罚。</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第十九条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本办法由国家发展改革委负责解释。</w:t>
      </w:r>
    </w:p>
    <w:p>
      <w:pPr>
        <w:ind w:firstLine="640" w:firstLineChars="200"/>
        <w:rPr>
          <w:rFonts w:hint="eastAsia" w:ascii="仿宋_GB2312" w:hAnsi="仿宋_GB2312" w:eastAsia="仿宋_GB2312" w:cs="仿宋_GB2312"/>
          <w:color w:val="auto"/>
          <w:sz w:val="32"/>
          <w:szCs w:val="32"/>
          <w:shd w:val="clear" w:color="auto" w:fill="FFFFFF"/>
        </w:rPr>
      </w:pPr>
      <w:r>
        <w:rPr>
          <w:rFonts w:hint="eastAsia" w:ascii="仿宋_GB2312" w:hAnsi="仿宋_GB2312" w:eastAsia="黑体" w:cs="仿宋_GB2312"/>
          <w:color w:val="auto"/>
          <w:sz w:val="32"/>
          <w:szCs w:val="32"/>
          <w:shd w:val="clear" w:color="auto" w:fill="FFFFFF"/>
        </w:rPr>
        <w:t>第二十条</w:t>
      </w:r>
      <w:r>
        <w:rPr>
          <w:rFonts w:hint="eastAsia" w:ascii="仿宋_GB2312" w:hAnsi="仿宋_GB2312" w:eastAsia="仿宋_GB2312" w:cs="仿宋_GB2312"/>
          <w:color w:val="auto"/>
          <w:sz w:val="32"/>
          <w:szCs w:val="32"/>
          <w:shd w:val="clear" w:color="auto" w:fill="FFFFFF"/>
          <w:lang w:eastAsia="zh-CN"/>
        </w:rPr>
        <w:t>　</w:t>
      </w:r>
      <w:r>
        <w:rPr>
          <w:rFonts w:hint="eastAsia" w:ascii="仿宋_GB2312" w:hAnsi="仿宋_GB2312" w:eastAsia="仿宋_GB2312" w:cs="仿宋_GB2312"/>
          <w:color w:val="auto"/>
          <w:sz w:val="32"/>
          <w:szCs w:val="32"/>
          <w:shd w:val="clear" w:color="auto" w:fill="FFFFFF"/>
        </w:rPr>
        <w:t>本办法自发文之日起试行。</w:t>
      </w:r>
    </w:p>
    <w:p>
      <w:pPr>
        <w:ind w:firstLine="640" w:firstLineChars="200"/>
        <w:rPr>
          <w:rFonts w:hint="eastAsia" w:ascii="仿宋_GB2312" w:hAnsi="仿宋_GB2312" w:eastAsia="仿宋_GB2312" w:cs="仿宋_GB2312"/>
          <w:color w:val="auto"/>
          <w:sz w:val="32"/>
          <w:szCs w:val="32"/>
          <w:shd w:val="clear" w:color="auto" w:fill="FFFFFF"/>
        </w:rPr>
      </w:pPr>
    </w:p>
    <w:p>
      <w:pPr>
        <w:ind w:firstLine="640" w:firstLineChars="200"/>
        <w:jc w:val="right"/>
        <w:rPr>
          <w:rFonts w:hint="eastAsia" w:ascii="仿宋_GB2312" w:hAnsi="仿宋_GB2312" w:eastAsia="仿宋_GB2312" w:cs="仿宋_GB2312"/>
          <w:color w:val="auto"/>
          <w:sz w:val="32"/>
          <w:szCs w:val="32"/>
          <w:shd w:val="clear" w:color="auto" w:fill="FFFFFF"/>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left="4788" w:leftChars="2280" w:firstLine="6400" w:firstLineChars="2000"/>
      <w:rPr>
        <w:rFonts w:eastAsia="仿宋"/>
        <w:sz w:val="32"/>
        <w:szCs w:val="48"/>
      </w:rPr>
    </w:pPr>
    <w:r>
      <w:rPr>
        <w:sz w:val="32"/>
      </w:rPr>
      <w:pict>
        <v:shape id="_x0000_s4098" o:spid="_x0000_s4098"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path/>
          <v:fill on="f" focussize="0,0"/>
          <v:stroke on="f" weight="0.5pt" joinstyle="miter"/>
          <v:imagedata o:title=""/>
          <o:lock v:ext="edit"/>
          <v:textbox inset="0mm,0mm,0mm,0mm" style="mso-fit-shape-to-text:t;">
            <w:txbxContent>
              <w:p>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- 1 -</w:t>
                </w:r>
                <w:r>
                  <w:rPr>
                    <w:rFonts w:hint="eastAsia" w:ascii="宋体" w:hAnsi="宋体" w:eastAsia="宋体" w:cs="宋体"/>
                    <w:sz w:val="28"/>
                    <w:szCs w:val="28"/>
                  </w:rPr>
                  <w:fldChar w:fldCharType="end"/>
                </w:r>
              </w:p>
            </w:txbxContent>
          </v:textbox>
        </v:shape>
      </w:pict>
    </w:r>
  </w:p>
  <w:p>
    <w:pPr>
      <w:pStyle w:val="5"/>
      <w:wordWrap w:val="0"/>
      <w:ind w:left="2692" w:leftChars="1282" w:firstLine="8492" w:firstLineChars="2654"/>
      <w:jc w:val="right"/>
      <w:rPr>
        <w:rFonts w:hint="eastAsia" w:ascii="宋体" w:hAnsi="宋体" w:eastAsia="宋体" w:cs="宋体"/>
        <w:b/>
        <w:bCs/>
        <w:color w:val="005192"/>
        <w:sz w:val="28"/>
        <w:szCs w:val="44"/>
        <w:lang w:eastAsia="zh-CN"/>
      </w:rPr>
    </w:pPr>
    <w:r>
      <w:rPr>
        <w:color w:val="FAFAFA"/>
        <w:sz w:val="32"/>
      </w:rPr>
      <w:pict>
        <v:line id="_x0000_s4099" o:spid="_x0000_s4099" o:spt="20" style="position:absolute;left:0pt;margin-left:0pt;margin-top:5.85pt;height:0.15pt;width:442.25pt;z-index:251660288;mso-width-relative:page;mso-height-relative:page;"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path arrowok="t"/>
          <v:fill focussize="0,0"/>
          <v:stroke weight="1.75pt" color="#005192" joinstyle="miter"/>
          <v:imagedata o:title=""/>
          <o:lock v:ext="edit"/>
        </v:line>
      </w:pict>
    </w:r>
    <w:r>
      <w:rPr>
        <w:rFonts w:hint="eastAsia" w:eastAsia="仿宋"/>
        <w:color w:val="FAFAFA"/>
        <w:sz w:val="32"/>
        <w:szCs w:val="48"/>
      </w:rPr>
      <w:t>X</w:t>
    </w:r>
    <w:r>
      <w:rPr>
        <w:rFonts w:hint="eastAsia" w:ascii="宋体" w:hAnsi="宋体" w:eastAsia="宋体" w:cs="宋体"/>
        <w:b/>
        <w:bCs/>
        <w:color w:val="005192"/>
        <w:sz w:val="28"/>
        <w:szCs w:val="28"/>
      </w:rPr>
      <w:t>国家发展和改革委员会发布</w:t>
    </w:r>
  </w:p>
  <w:p>
    <w:pPr>
      <w:pStyle w:val="5"/>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extAlignment w:val="center"/>
      <w:rPr>
        <w:rFonts w:ascii="宋体" w:hAnsi="宋体" w:eastAsia="宋体" w:cs="宋体"/>
        <w:b/>
        <w:bCs/>
        <w:color w:val="005192"/>
        <w:sz w:val="32"/>
      </w:rPr>
    </w:pPr>
    <w:r>
      <w:rPr>
        <w:rFonts w:ascii="宋体" w:hAnsi="宋体" w:eastAsia="宋体" w:cs="宋体"/>
        <w:b/>
        <w:bCs/>
        <w:color w:val="005192"/>
        <w:sz w:val="32"/>
      </w:rPr>
      <w:pict>
        <v:line id="_x0000_s4097" o:spid="_x0000_s4097" o:spt="20" style="position:absolute;left:0pt;margin-left:-0.3pt;margin-top:54.35pt;height:0pt;width:442.55pt;z-index:251659264;mso-width-relative:page;mso-height-relative:page;"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path arrowok="t"/>
          <v:fill focussize="0,0"/>
          <v:stroke weight="1.75pt" color="#005192" joinstyle="miter"/>
          <v:imagedata o:title=""/>
          <o:lock v:ext="edit"/>
        </v:line>
      </w:pict>
    </w:r>
  </w:p>
  <w:p>
    <w:pPr>
      <w:pStyle w:val="5"/>
      <w:textAlignment w:val="center"/>
      <w:rPr>
        <w:rFonts w:ascii="宋体" w:hAnsi="宋体" w:eastAsia="宋体" w:cs="宋体"/>
        <w:b/>
        <w:bCs/>
        <w:color w:val="005192"/>
        <w:sz w:val="32"/>
        <w:szCs w:val="32"/>
      </w:rPr>
    </w:pPr>
    <w:r>
      <w:rPr>
        <w:rFonts w:hint="eastAsia" w:ascii="宋体" w:hAnsi="宋体" w:eastAsia="宋体" w:cs="宋体"/>
        <w:b/>
        <w:bCs/>
        <w:color w:val="005192"/>
        <w:sz w:val="32"/>
        <w:szCs w:val="32"/>
      </w:rPr>
      <w:t>国家发展和改革委员会行政规范性文件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VlNzcxYTM1NmY3MDg2NTY2OGU1ZjAxZTY1OTYxOTAifQ=="/>
  </w:docVars>
  <w:rsids>
    <w:rsidRoot w:val="00172A27"/>
    <w:rsid w:val="00005057"/>
    <w:rsid w:val="00010E40"/>
    <w:rsid w:val="000A1DAB"/>
    <w:rsid w:val="0014057C"/>
    <w:rsid w:val="001627D8"/>
    <w:rsid w:val="00172A27"/>
    <w:rsid w:val="001B3FFA"/>
    <w:rsid w:val="001F5DDC"/>
    <w:rsid w:val="002227FE"/>
    <w:rsid w:val="00373B8F"/>
    <w:rsid w:val="00380118"/>
    <w:rsid w:val="00393E58"/>
    <w:rsid w:val="003B5C11"/>
    <w:rsid w:val="003D3B50"/>
    <w:rsid w:val="00492251"/>
    <w:rsid w:val="004973D3"/>
    <w:rsid w:val="004C6296"/>
    <w:rsid w:val="004F1573"/>
    <w:rsid w:val="004F378A"/>
    <w:rsid w:val="005318F8"/>
    <w:rsid w:val="005520F5"/>
    <w:rsid w:val="0055224D"/>
    <w:rsid w:val="0058664D"/>
    <w:rsid w:val="005D0E32"/>
    <w:rsid w:val="005D6D4A"/>
    <w:rsid w:val="00626916"/>
    <w:rsid w:val="00642535"/>
    <w:rsid w:val="00643E8E"/>
    <w:rsid w:val="006A45A9"/>
    <w:rsid w:val="006A7ED3"/>
    <w:rsid w:val="006B1943"/>
    <w:rsid w:val="006D5A3F"/>
    <w:rsid w:val="006D5E13"/>
    <w:rsid w:val="00750171"/>
    <w:rsid w:val="007E2051"/>
    <w:rsid w:val="00801A7A"/>
    <w:rsid w:val="00871657"/>
    <w:rsid w:val="00896584"/>
    <w:rsid w:val="008A0581"/>
    <w:rsid w:val="008C5254"/>
    <w:rsid w:val="00937FFA"/>
    <w:rsid w:val="00962E19"/>
    <w:rsid w:val="00965764"/>
    <w:rsid w:val="009C7800"/>
    <w:rsid w:val="00A67E50"/>
    <w:rsid w:val="00AA7C02"/>
    <w:rsid w:val="00B571B4"/>
    <w:rsid w:val="00BD1769"/>
    <w:rsid w:val="00C8180F"/>
    <w:rsid w:val="00CC3D10"/>
    <w:rsid w:val="00CD0DBD"/>
    <w:rsid w:val="00CD125B"/>
    <w:rsid w:val="00D30F6A"/>
    <w:rsid w:val="00DC384D"/>
    <w:rsid w:val="00DC7722"/>
    <w:rsid w:val="00DE6719"/>
    <w:rsid w:val="00E05343"/>
    <w:rsid w:val="00E93259"/>
    <w:rsid w:val="00ED4C82"/>
    <w:rsid w:val="00F04FE1"/>
    <w:rsid w:val="00F072FA"/>
    <w:rsid w:val="00F265E8"/>
    <w:rsid w:val="00FB5D6E"/>
    <w:rsid w:val="00FC4864"/>
    <w:rsid w:val="019E71BD"/>
    <w:rsid w:val="04B679C3"/>
    <w:rsid w:val="080F63D8"/>
    <w:rsid w:val="09341458"/>
    <w:rsid w:val="0B0912D7"/>
    <w:rsid w:val="152D2DCA"/>
    <w:rsid w:val="1AFFFF1E"/>
    <w:rsid w:val="1D53A5E9"/>
    <w:rsid w:val="1DEC284C"/>
    <w:rsid w:val="1E6523AC"/>
    <w:rsid w:val="22440422"/>
    <w:rsid w:val="31A15F24"/>
    <w:rsid w:val="36192F7E"/>
    <w:rsid w:val="395347B5"/>
    <w:rsid w:val="39A232A0"/>
    <w:rsid w:val="39E745AA"/>
    <w:rsid w:val="3B5A6BBB"/>
    <w:rsid w:val="3BDEE3EC"/>
    <w:rsid w:val="3EDA13A6"/>
    <w:rsid w:val="42F058B7"/>
    <w:rsid w:val="436109F6"/>
    <w:rsid w:val="441A38D4"/>
    <w:rsid w:val="4BC77339"/>
    <w:rsid w:val="4C9236C5"/>
    <w:rsid w:val="505C172E"/>
    <w:rsid w:val="52F46F0B"/>
    <w:rsid w:val="53D8014D"/>
    <w:rsid w:val="55E064E0"/>
    <w:rsid w:val="567D878A"/>
    <w:rsid w:val="56F62421"/>
    <w:rsid w:val="572C6D10"/>
    <w:rsid w:val="5DC34279"/>
    <w:rsid w:val="608816D1"/>
    <w:rsid w:val="60EF4E7F"/>
    <w:rsid w:val="665233C1"/>
    <w:rsid w:val="6A170B44"/>
    <w:rsid w:val="6AD9688B"/>
    <w:rsid w:val="6D0E3F22"/>
    <w:rsid w:val="6D7F46B4"/>
    <w:rsid w:val="6FFFC832"/>
    <w:rsid w:val="74FBBB43"/>
    <w:rsid w:val="77BFC13F"/>
    <w:rsid w:val="77F88006"/>
    <w:rsid w:val="7C9011D9"/>
    <w:rsid w:val="7D7E76B6"/>
    <w:rsid w:val="7DC651C5"/>
    <w:rsid w:val="7FCC2834"/>
    <w:rsid w:val="7FFE88AC"/>
    <w:rsid w:val="BFF7BA1D"/>
    <w:rsid w:val="DFEF14CD"/>
    <w:rsid w:val="DFFFD5E1"/>
    <w:rsid w:val="E4FD71B7"/>
    <w:rsid w:val="EAFB61B7"/>
    <w:rsid w:val="F56D5D3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annotation subject"/>
    <w:basedOn w:val="2"/>
    <w:next w:val="2"/>
    <w:link w:val="12"/>
    <w:qFormat/>
    <w:uiPriority w:val="0"/>
    <w:rPr>
      <w:b/>
      <w:bCs/>
    </w:rPr>
  </w:style>
  <w:style w:type="character" w:styleId="9">
    <w:name w:val="annotation reference"/>
    <w:basedOn w:val="8"/>
    <w:qFormat/>
    <w:uiPriority w:val="0"/>
    <w:rPr>
      <w:sz w:val="21"/>
      <w:szCs w:val="21"/>
    </w:rPr>
  </w:style>
  <w:style w:type="character" w:customStyle="1" w:styleId="10">
    <w:name w:val="批注框文本 Char"/>
    <w:basedOn w:val="8"/>
    <w:link w:val="3"/>
    <w:qFormat/>
    <w:uiPriority w:val="0"/>
    <w:rPr>
      <w:rFonts w:asciiTheme="minorHAnsi" w:hAnsiTheme="minorHAnsi" w:eastAsiaTheme="minorEastAsia" w:cstheme="minorBidi"/>
      <w:kern w:val="2"/>
      <w:sz w:val="18"/>
      <w:szCs w:val="18"/>
    </w:rPr>
  </w:style>
  <w:style w:type="character" w:customStyle="1" w:styleId="11">
    <w:name w:val="批注文字 Char"/>
    <w:basedOn w:val="8"/>
    <w:link w:val="2"/>
    <w:qFormat/>
    <w:uiPriority w:val="0"/>
    <w:rPr>
      <w:rFonts w:asciiTheme="minorHAnsi" w:hAnsiTheme="minorHAnsi" w:eastAsiaTheme="minorEastAsia" w:cstheme="minorBidi"/>
      <w:kern w:val="2"/>
      <w:sz w:val="21"/>
      <w:szCs w:val="24"/>
    </w:rPr>
  </w:style>
  <w:style w:type="character" w:customStyle="1" w:styleId="12">
    <w:name w:val="批注主题 Char"/>
    <w:basedOn w:val="11"/>
    <w:link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Info spid="_x0000_s4098"/>
    <customShpInfo spid="_x0000_s409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Pages>
  <Words>3892</Words>
  <Characters>3946</Characters>
  <Lines>6</Lines>
  <Paragraphs>1</Paragraphs>
  <TotalTime>4</TotalTime>
  <ScaleCrop>false</ScaleCrop>
  <LinksUpToDate>false</LinksUpToDate>
  <CharactersWithSpaces>3970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2022-09-06T10:23:00Z</dcterms:created>
  <dc:creator>t</dc:creator>
  <cp:lastModifiedBy>愿得一人心</cp:lastModifiedBy>
  <cp:lastPrinted>2022-09-06T09:07:00Z</cp:lastPrinted>
  <dcterms:modified xsi:type="dcterms:W3CDTF">2022-11-23T01:16:16Z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48C61CB29D3F4D9384F5922CF0F7FFB4</vt:lpwstr>
  </property>
</Properties>
</file>