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color w:val="auto"/>
          <w:sz w:val="44"/>
          <w:szCs w:val="44"/>
        </w:rPr>
      </w:pPr>
    </w:p>
    <w:p>
      <w:pPr>
        <w:jc w:val="center"/>
        <w:rPr>
          <w:rFonts w:asciiTheme="minorEastAsia" w:hAnsiTheme="minorEastAsia" w:cstheme="minorEastAsia"/>
          <w:color w:val="auto"/>
          <w:sz w:val="44"/>
          <w:szCs w:val="44"/>
        </w:rPr>
      </w:pPr>
    </w:p>
    <w:p>
      <w:pPr>
        <w:jc w:val="center"/>
        <w:rPr>
          <w:rFonts w:hint="eastAsia" w:asciiTheme="minorEastAsia" w:hAnsiTheme="minorEastAsia" w:cstheme="minorEastAsia"/>
          <w:color w:val="auto"/>
          <w:sz w:val="44"/>
          <w:szCs w:val="44"/>
        </w:rPr>
      </w:pPr>
      <w:r>
        <w:rPr>
          <w:rFonts w:hint="eastAsia" w:asciiTheme="minorEastAsia" w:hAnsiTheme="minorEastAsia" w:cstheme="minorEastAsia"/>
          <w:color w:val="auto"/>
          <w:sz w:val="44"/>
          <w:szCs w:val="44"/>
        </w:rPr>
        <w:t>关于印发《电网调度机构的职权及其调度</w:t>
      </w:r>
    </w:p>
    <w:p>
      <w:pPr>
        <w:jc w:val="center"/>
        <w:rPr>
          <w:rFonts w:hint="eastAsia" w:asciiTheme="minorEastAsia" w:hAnsiTheme="minorEastAsia" w:cstheme="minorEastAsia"/>
          <w:color w:val="auto"/>
          <w:sz w:val="44"/>
          <w:szCs w:val="44"/>
        </w:rPr>
      </w:pPr>
      <w:r>
        <w:rPr>
          <w:rFonts w:hint="eastAsia" w:asciiTheme="minorEastAsia" w:hAnsiTheme="minorEastAsia" w:cstheme="minorEastAsia"/>
          <w:color w:val="auto"/>
          <w:sz w:val="44"/>
          <w:szCs w:val="44"/>
        </w:rPr>
        <w:t>管辖范围的划分原则和直接调度的</w:t>
      </w:r>
    </w:p>
    <w:p>
      <w:pPr>
        <w:jc w:val="center"/>
        <w:rPr>
          <w:rFonts w:ascii="宋体" w:hAnsi="宋体" w:eastAsia="宋体" w:cs="宋体"/>
          <w:color w:val="auto"/>
          <w:sz w:val="36"/>
          <w:szCs w:val="36"/>
          <w:shd w:val="clear" w:color="auto" w:fill="FFFFFF"/>
        </w:rPr>
      </w:pPr>
      <w:r>
        <w:rPr>
          <w:rFonts w:hint="eastAsia" w:asciiTheme="minorEastAsia" w:hAnsiTheme="minorEastAsia" w:cstheme="minorEastAsia"/>
          <w:color w:val="auto"/>
          <w:sz w:val="44"/>
          <w:szCs w:val="44"/>
        </w:rPr>
        <w:t>发电厂的划定原则》的通知</w:t>
      </w:r>
    </w:p>
    <w:p>
      <w:pPr>
        <w:ind w:left="0" w:leftChars="0" w:firstLine="0" w:firstLineChars="0"/>
        <w:jc w:val="center"/>
        <w:rPr>
          <w:rFonts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eastAsia="zh-CN"/>
        </w:rPr>
        <w:t>电政法</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1994</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607</w:t>
      </w:r>
      <w:r>
        <w:rPr>
          <w:rFonts w:hint="eastAsia" w:ascii="楷体_GB2312" w:hAnsi="楷体_GB2312" w:eastAsia="楷体_GB2312" w:cs="楷体_GB2312"/>
          <w:color w:val="auto"/>
          <w:sz w:val="32"/>
          <w:szCs w:val="32"/>
          <w:shd w:val="clear" w:color="auto" w:fill="FFFFFF"/>
        </w:rPr>
        <w:t xml:space="preserve">号  </w:t>
      </w:r>
      <w:r>
        <w:rPr>
          <w:rFonts w:hint="eastAsia" w:ascii="楷体_GB2312" w:hAnsi="楷体_GB2312" w:eastAsia="楷体_GB2312" w:cs="楷体_GB2312"/>
          <w:color w:val="auto"/>
          <w:sz w:val="32"/>
          <w:szCs w:val="32"/>
          <w:shd w:val="clear" w:color="auto" w:fill="FFFFFF"/>
          <w:lang w:val="en-US" w:eastAsia="zh-CN"/>
        </w:rPr>
        <w:t>1994</w:t>
      </w:r>
      <w:r>
        <w:rPr>
          <w:rFonts w:hint="eastAsia" w:ascii="楷体_GB2312" w:hAnsi="楷体_GB2312" w:eastAsia="楷体_GB2312" w:cs="楷体_GB2312"/>
          <w:color w:val="auto"/>
          <w:sz w:val="32"/>
          <w:szCs w:val="32"/>
          <w:shd w:val="clear" w:color="auto" w:fill="FFFFFF"/>
        </w:rPr>
        <w:t>年</w:t>
      </w:r>
      <w:r>
        <w:rPr>
          <w:rFonts w:hint="eastAsia" w:ascii="楷体_GB2312" w:hAnsi="楷体_GB2312" w:eastAsia="楷体_GB2312" w:cs="楷体_GB2312"/>
          <w:color w:val="auto"/>
          <w:sz w:val="32"/>
          <w:szCs w:val="32"/>
          <w:shd w:val="clear" w:color="auto" w:fill="FFFFFF"/>
          <w:lang w:val="en-US" w:eastAsia="zh-CN"/>
        </w:rPr>
        <w:t>10</w:t>
      </w:r>
      <w:r>
        <w:rPr>
          <w:rFonts w:hint="eastAsia" w:ascii="楷体_GB2312" w:hAnsi="楷体_GB2312" w:eastAsia="楷体_GB2312" w:cs="楷体_GB2312"/>
          <w:color w:val="auto"/>
          <w:sz w:val="32"/>
          <w:szCs w:val="32"/>
          <w:shd w:val="clear" w:color="auto" w:fill="FFFFFF"/>
        </w:rPr>
        <w:t>月</w:t>
      </w:r>
      <w:r>
        <w:rPr>
          <w:rFonts w:hint="eastAsia" w:ascii="楷体_GB2312" w:hAnsi="楷体_GB2312" w:eastAsia="楷体_GB2312" w:cs="楷体_GB2312"/>
          <w:color w:val="auto"/>
          <w:sz w:val="32"/>
          <w:szCs w:val="32"/>
          <w:shd w:val="clear" w:color="auto" w:fill="FFFFFF"/>
          <w:lang w:val="en-US" w:eastAsia="zh-CN"/>
        </w:rPr>
        <w:t>21</w:t>
      </w:r>
      <w:r>
        <w:rPr>
          <w:rFonts w:hint="eastAsia" w:ascii="楷体_GB2312" w:hAnsi="楷体_GB2312" w:eastAsia="楷体_GB2312" w:cs="楷体_GB2312"/>
          <w:color w:val="auto"/>
          <w:sz w:val="32"/>
          <w:szCs w:val="32"/>
          <w:shd w:val="clear" w:color="auto" w:fill="FFFFFF"/>
        </w:rPr>
        <w:t>日印发)</w:t>
      </w:r>
    </w:p>
    <w:p>
      <w:pPr>
        <w:ind w:firstLine="640" w:firstLineChars="200"/>
        <w:rPr>
          <w:rFonts w:ascii="仿宋_GB2312" w:hAnsi="宋体" w:eastAsia="仿宋_GB2312" w:cs="宋体"/>
          <w:color w:val="auto"/>
          <w:sz w:val="32"/>
          <w:szCs w:val="32"/>
          <w:shd w:val="clear" w:color="auto" w:fill="FFFFFF"/>
        </w:rPr>
      </w:pP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根据《电网调度管理条例》第七条、第八条之规定，我部组织制定了《电网调度机构的职权及其调度管辖范围的划分原则和直接调度的发电厂的划定原则》，现印发你们，请依照执行。</w:t>
      </w:r>
    </w:p>
    <w:p>
      <w:pPr>
        <w:ind w:firstLine="640" w:firstLineChars="200"/>
        <w:rPr>
          <w:rFonts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rPr>
        <w:t>附件</w:t>
      </w:r>
      <w:r>
        <w:rPr>
          <w:rFonts w:hint="default" w:ascii="仿宋_GB2312" w:hAnsi="仿宋_GB2312" w:eastAsia="仿宋_GB2312" w:cs="仿宋_GB2312"/>
          <w:color w:val="auto"/>
          <w:sz w:val="32"/>
          <w:szCs w:val="32"/>
          <w:shd w:val="clear" w:color="auto" w:fill="FFFFFF"/>
          <w:lang w:val="en"/>
        </w:rPr>
        <w:t>:</w:t>
      </w:r>
      <w:r>
        <w:rPr>
          <w:rFonts w:hint="eastAsia" w:ascii="仿宋_GB2312" w:hAnsi="仿宋_GB2312" w:eastAsia="仿宋_GB2312" w:cs="仿宋_GB2312"/>
          <w:color w:val="auto"/>
          <w:sz w:val="32"/>
          <w:szCs w:val="32"/>
          <w:shd w:val="clear" w:color="auto" w:fill="FFFFFF"/>
          <w:lang w:val="en-US" w:eastAsia="zh-CN"/>
        </w:rPr>
        <w:t>电网调度机构的职权及其调度管辖范围的划分原则和</w:t>
      </w:r>
    </w:p>
    <w:p>
      <w:pPr>
        <w:keepNext w:val="0"/>
        <w:keepLines w:val="0"/>
        <w:pageBreakBefore w:val="0"/>
        <w:widowControl w:val="0"/>
        <w:kinsoku/>
        <w:wordWrap/>
        <w:overflowPunct/>
        <w:topLinePunct w:val="0"/>
        <w:autoSpaceDE/>
        <w:autoSpaceDN/>
        <w:bidi w:val="0"/>
        <w:adjustRightInd/>
        <w:snapToGrid/>
        <w:ind w:firstLine="1440" w:firstLineChars="450"/>
        <w:textAlignment w:val="auto"/>
        <w:outlineLvl w:val="9"/>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直接调度的发电厂的划定原则</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ind w:firstLine="6656" w:firstLineChars="2080"/>
        <w:textAlignment w:val="auto"/>
        <w:outlineLvl w:val="9"/>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电力工业部</w:t>
      </w:r>
    </w:p>
    <w:p>
      <w:pPr>
        <w:keepNext w:val="0"/>
        <w:keepLines w:val="0"/>
        <w:pageBreakBefore w:val="0"/>
        <w:widowControl w:val="0"/>
        <w:kinsoku/>
        <w:wordWrap/>
        <w:overflowPunct/>
        <w:topLinePunct w:val="0"/>
        <w:autoSpaceDE/>
        <w:autoSpaceDN/>
        <w:bidi w:val="0"/>
        <w:adjustRightInd/>
        <w:snapToGrid/>
        <w:ind w:firstLine="6137" w:firstLineChars="1918"/>
        <w:textAlignment w:val="auto"/>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1994</w:t>
      </w:r>
      <w:r>
        <w:rPr>
          <w:rFonts w:hint="eastAsia" w:ascii="仿宋_GB2312" w:hAnsi="仿宋_GB2312" w:eastAsia="仿宋_GB2312" w:cs="仿宋_GB2312"/>
          <w:color w:val="auto"/>
          <w:sz w:val="32"/>
          <w:szCs w:val="32"/>
          <w:shd w:val="clear" w:color="auto" w:fill="FFFFFF"/>
        </w:rPr>
        <w:t>年</w:t>
      </w:r>
      <w:r>
        <w:rPr>
          <w:rFonts w:hint="eastAsia" w:ascii="仿宋_GB2312" w:hAnsi="仿宋_GB2312" w:eastAsia="仿宋_GB2312" w:cs="仿宋_GB2312"/>
          <w:color w:val="auto"/>
          <w:sz w:val="32"/>
          <w:szCs w:val="32"/>
          <w:shd w:val="clear" w:color="auto" w:fill="FFFFFF"/>
          <w:lang w:val="en-US" w:eastAsia="zh-CN"/>
        </w:rPr>
        <w:t>10</w:t>
      </w:r>
      <w:r>
        <w:rPr>
          <w:rFonts w:hint="eastAsia" w:ascii="仿宋_GB2312" w:hAnsi="仿宋_GB2312" w:eastAsia="仿宋_GB2312" w:cs="仿宋_GB2312"/>
          <w:color w:val="auto"/>
          <w:sz w:val="32"/>
          <w:szCs w:val="32"/>
          <w:shd w:val="clear" w:color="auto" w:fill="FFFFFF"/>
        </w:rPr>
        <w:t>月</w:t>
      </w:r>
      <w:r>
        <w:rPr>
          <w:rFonts w:hint="eastAsia" w:ascii="仿宋_GB2312" w:hAnsi="仿宋_GB2312" w:eastAsia="仿宋_GB2312" w:cs="仿宋_GB2312"/>
          <w:color w:val="auto"/>
          <w:sz w:val="32"/>
          <w:szCs w:val="32"/>
          <w:shd w:val="clear" w:color="auto" w:fill="FFFFFF"/>
          <w:lang w:val="en-US" w:eastAsia="zh-CN"/>
        </w:rPr>
        <w:t>21</w:t>
      </w:r>
      <w:r>
        <w:rPr>
          <w:rFonts w:hint="eastAsia" w:ascii="仿宋_GB2312" w:hAnsi="仿宋_GB2312" w:eastAsia="仿宋_GB2312" w:cs="仿宋_GB2312"/>
          <w:color w:val="auto"/>
          <w:sz w:val="32"/>
          <w:szCs w:val="32"/>
          <w:shd w:val="clear" w:color="auto" w:fill="FFFFFF"/>
        </w:rPr>
        <w:t>日</w:t>
      </w:r>
    </w:p>
    <w:p>
      <w:pPr>
        <w:ind w:firstLine="6240" w:firstLineChars="1950"/>
        <w:rPr>
          <w:rFonts w:ascii="黑体" w:hAnsi="黑体" w:eastAsia="黑体" w:cs="仿宋_GB2312"/>
          <w:color w:val="auto"/>
          <w:sz w:val="32"/>
          <w:szCs w:val="32"/>
          <w:shd w:val="clear" w:color="auto" w:fill="FFFFFF"/>
        </w:rPr>
      </w:pPr>
      <w:r>
        <w:rPr>
          <w:rFonts w:ascii="黑体" w:hAnsi="黑体" w:eastAsia="黑体" w:cs="仿宋_GB2312"/>
          <w:color w:val="auto"/>
          <w:sz w:val="32"/>
          <w:szCs w:val="32"/>
          <w:shd w:val="clear" w:color="auto" w:fill="FFFFFF"/>
        </w:rPr>
        <w:br w:type="page"/>
      </w:r>
    </w:p>
    <w:p>
      <w:pPr>
        <w:rPr>
          <w:rFonts w:hint="eastAsia" w:ascii="黑体" w:hAnsi="黑体" w:eastAsia="黑体" w:cs="仿宋_GB2312"/>
          <w:color w:val="auto"/>
          <w:sz w:val="32"/>
          <w:szCs w:val="32"/>
          <w:shd w:val="clear" w:color="auto" w:fill="FFFFFF"/>
          <w:lang w:val="en-US" w:eastAsia="zh-CN"/>
        </w:rPr>
      </w:pPr>
      <w:r>
        <w:rPr>
          <w:rFonts w:hint="eastAsia" w:ascii="黑体" w:hAnsi="黑体" w:eastAsia="黑体" w:cs="仿宋_GB2312"/>
          <w:color w:val="auto"/>
          <w:sz w:val="32"/>
          <w:szCs w:val="32"/>
          <w:shd w:val="clear" w:color="auto" w:fill="FFFFFF"/>
        </w:rPr>
        <w:t>附件</w:t>
      </w:r>
    </w:p>
    <w:p>
      <w:pPr>
        <w:ind w:firstLine="640" w:firstLineChars="200"/>
        <w:rPr>
          <w:rFonts w:ascii="仿宋_GB2312" w:hAnsi="仿宋_GB2312" w:eastAsia="仿宋_GB2312" w:cs="仿宋_GB2312"/>
          <w:color w:val="auto"/>
          <w:sz w:val="32"/>
          <w:szCs w:val="32"/>
          <w:shd w:val="clear" w:color="auto" w:fill="FFFFFF"/>
        </w:rPr>
      </w:pPr>
    </w:p>
    <w:p>
      <w:pPr>
        <w:jc w:val="center"/>
        <w:rPr>
          <w:rFonts w:ascii="仿宋_GB2312" w:hAnsi="宋体" w:eastAsia="仿宋_GB2312" w:cs="宋体"/>
          <w:color w:val="auto"/>
          <w:sz w:val="32"/>
          <w:szCs w:val="32"/>
          <w:shd w:val="clear" w:color="auto" w:fill="FFFFFF"/>
        </w:rPr>
      </w:pPr>
      <w:r>
        <w:rPr>
          <w:rFonts w:hint="eastAsia" w:asciiTheme="minorEastAsia" w:hAnsiTheme="minorEastAsia" w:cstheme="minorEastAsia"/>
          <w:color w:val="auto"/>
          <w:sz w:val="44"/>
          <w:szCs w:val="44"/>
        </w:rPr>
        <w:t>电网调度机构的职权及其调度管辖范围的划分原则和直接调度的发电厂的划定原则</w:t>
      </w:r>
    </w:p>
    <w:p>
      <w:pPr>
        <w:ind w:firstLine="640" w:firstLineChars="200"/>
        <w:rPr>
          <w:rFonts w:ascii="仿宋_GB2312" w:hAnsi="仿宋_GB2312" w:eastAsia="仿宋_GB2312" w:cs="仿宋_GB2312"/>
          <w:color w:val="auto"/>
          <w:sz w:val="32"/>
          <w:szCs w:val="32"/>
          <w:shd w:val="clear" w:color="auto" w:fill="FFFFFF"/>
        </w:rPr>
      </w:pPr>
    </w:p>
    <w:p>
      <w:pPr>
        <w:jc w:val="center"/>
        <w:rPr>
          <w:rFonts w:hint="eastAsia" w:ascii="仿宋_GB2312" w:hAnsi="仿宋_GB2312" w:eastAsia="仿宋_GB2312" w:cs="仿宋_GB2312"/>
          <w:color w:val="auto"/>
          <w:sz w:val="32"/>
          <w:szCs w:val="32"/>
          <w:shd w:val="clear" w:color="auto" w:fill="FFFFFF"/>
        </w:rPr>
      </w:pPr>
      <w:r>
        <w:rPr>
          <w:rFonts w:hint="eastAsia" w:ascii="黑体" w:hAnsi="黑体" w:eastAsia="黑体" w:cs="仿宋_GB2312"/>
          <w:color w:val="auto"/>
          <w:sz w:val="32"/>
          <w:szCs w:val="32"/>
          <w:shd w:val="clear" w:color="auto" w:fill="FFFFFF"/>
          <w:lang w:eastAsia="zh-CN"/>
        </w:rPr>
        <w:t>第一章</w:t>
      </w:r>
      <w:r>
        <w:rPr>
          <w:rFonts w:hint="eastAsia" w:ascii="黑体" w:hAnsi="黑体" w:eastAsia="黑体" w:cs="仿宋_GB2312"/>
          <w:color w:val="auto"/>
          <w:sz w:val="32"/>
          <w:szCs w:val="32"/>
          <w:shd w:val="clear" w:color="auto" w:fill="FFFFFF"/>
          <w:lang w:val="en-US" w:eastAsia="zh-CN"/>
        </w:rPr>
        <w:t xml:space="preserve"> 总  则</w:t>
      </w:r>
    </w:p>
    <w:p>
      <w:pPr>
        <w:ind w:firstLine="640" w:firstLineChars="200"/>
        <w:rPr>
          <w:rFonts w:hint="eastAsia" w:ascii="黑体" w:hAnsi="黑体" w:eastAsia="黑体" w:cs="黑体"/>
          <w:i w:val="0"/>
          <w:caps w:val="0"/>
          <w:color w:val="auto"/>
          <w:spacing w:val="0"/>
          <w:sz w:val="32"/>
          <w:szCs w:val="32"/>
          <w:shd w:val="clear" w:fill="FFFFFF"/>
          <w:lang w:val="en-US" w:eastAsia="zh-CN"/>
        </w:rPr>
      </w:pP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 xml:space="preserve">第一条  </w:t>
      </w:r>
      <w:r>
        <w:rPr>
          <w:rFonts w:hint="eastAsia" w:ascii="仿宋_GB2312" w:hAnsi="仿宋_GB2312" w:eastAsia="仿宋_GB2312" w:cs="仿宋_GB2312"/>
          <w:color w:val="auto"/>
          <w:sz w:val="32"/>
          <w:szCs w:val="32"/>
          <w:shd w:val="clear" w:color="auto" w:fill="FFFFFF"/>
        </w:rPr>
        <w:t>根据《电网调度管理条例》第七、八条的规定，制定本原则。</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 xml:space="preserve">第二条  </w:t>
      </w:r>
      <w:r>
        <w:rPr>
          <w:rFonts w:hint="eastAsia" w:ascii="仿宋_GB2312" w:hAnsi="仿宋_GB2312" w:eastAsia="仿宋_GB2312" w:cs="仿宋_GB2312"/>
          <w:color w:val="auto"/>
          <w:sz w:val="32"/>
          <w:szCs w:val="32"/>
          <w:shd w:val="clear" w:color="auto" w:fill="FFFFFF"/>
        </w:rPr>
        <w:t>调度机构的管辖范围，是指调度机构对电网调度范围的分工，是根据电网构成情况划分的各级调度机构对电网调度的级别管辖范围与地域管辖范围的总称。</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 xml:space="preserve">第三条  </w:t>
      </w:r>
      <w:r>
        <w:rPr>
          <w:rFonts w:hint="eastAsia" w:ascii="仿宋_GB2312" w:hAnsi="仿宋_GB2312" w:eastAsia="仿宋_GB2312" w:cs="仿宋_GB2312"/>
          <w:color w:val="auto"/>
          <w:sz w:val="32"/>
          <w:szCs w:val="32"/>
          <w:shd w:val="clear" w:color="auto" w:fill="FFFFFF"/>
        </w:rPr>
        <w:t>调度机构直接调度的发电厂，是指由各级电网调度机构调度管辖的发电厂。一切并入电网的发电厂，不论其产权归属和管理形式，也不论其所在地域或接入何级电网，均必须划规电网调度机构调度管辖。</w:t>
      </w:r>
    </w:p>
    <w:p>
      <w:pPr>
        <w:jc w:val="center"/>
        <w:rPr>
          <w:rFonts w:hint="eastAsia" w:ascii="黑体" w:hAnsi="黑体" w:eastAsia="黑体" w:cs="仿宋_GB2312"/>
          <w:color w:val="auto"/>
          <w:sz w:val="32"/>
          <w:szCs w:val="32"/>
          <w:shd w:val="clear" w:color="auto" w:fill="FFFFFF"/>
          <w:lang w:eastAsia="zh-CN"/>
        </w:rPr>
      </w:pPr>
    </w:p>
    <w:p>
      <w:pPr>
        <w:jc w:val="center"/>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第二章 调度机构的职权</w:t>
      </w:r>
    </w:p>
    <w:p>
      <w:pPr>
        <w:ind w:firstLine="640" w:firstLineChars="200"/>
        <w:rPr>
          <w:rFonts w:hint="eastAsia" w:ascii="黑体" w:hAnsi="黑体" w:eastAsia="黑体" w:cs="黑体"/>
          <w:i w:val="0"/>
          <w:caps w:val="0"/>
          <w:color w:val="auto"/>
          <w:spacing w:val="0"/>
          <w:sz w:val="32"/>
          <w:szCs w:val="32"/>
          <w:shd w:val="clear" w:fill="FFFFFF"/>
          <w:lang w:val="en-US" w:eastAsia="zh-CN"/>
        </w:rPr>
      </w:pP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 xml:space="preserve">第四条  </w:t>
      </w:r>
      <w:r>
        <w:rPr>
          <w:rFonts w:hint="eastAsia" w:ascii="仿宋_GB2312" w:hAnsi="仿宋_GB2312" w:eastAsia="仿宋_GB2312" w:cs="仿宋_GB2312"/>
          <w:color w:val="auto"/>
          <w:sz w:val="32"/>
          <w:szCs w:val="32"/>
          <w:shd w:val="clear" w:color="auto" w:fill="FFFFFF"/>
        </w:rPr>
        <w:t>电网调度机构是为保障电网安全、优质、经济运行，对电网运行进行组织、指挥、指导和协调的机构。各级调度机构分别由各级电力行政主管部门或电网管理部门直接领导。调度机构既是生产单位，又是各级电力行政主管部门的职能机构，代表本级电力行政主管部门在电网运行中行使调度权。</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 xml:space="preserve">第五条  </w:t>
      </w:r>
      <w:r>
        <w:rPr>
          <w:rFonts w:hint="eastAsia" w:ascii="仿宋_GB2312" w:hAnsi="仿宋_GB2312" w:eastAsia="仿宋_GB2312" w:cs="仿宋_GB2312"/>
          <w:color w:val="auto"/>
          <w:sz w:val="32"/>
          <w:szCs w:val="32"/>
          <w:shd w:val="clear" w:color="auto" w:fill="FFFFFF"/>
        </w:rPr>
        <w:t>电网调度机构分为五级，依次为：</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国家电网调度机构(简称国调中心)；</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跨省、自治区、直辖市电网调度机构(简称网调)；</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省、自治区、直辖市电网调度机构(简称省调)；</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省辖市级电网调度机构(简称地调)；</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县级电网调度机构(简称县调)；</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各级调度机构在电网调度业务活动中是上、下级关系，下级调度机构必须服从上级调度机构的调度。</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调是全国电网最高调度机构；跨省、自治区、直辖市电网(以下简称跨省电网或大区电网)范围内的调度机构可设置四级，依次为网调，省调，地调和县调；省、自治区、直辖市级电网范围内的调度机构可设置三级，依次为省调，地调和县调；不与省、自治区、直辖市级电网相联的电网的调度机构可设置一级或两级。</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同一个电网内，最高一级调度机构只能设置一个。</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 xml:space="preserve">第六条  </w:t>
      </w:r>
      <w:r>
        <w:rPr>
          <w:rFonts w:hint="eastAsia" w:ascii="仿宋_GB2312" w:hAnsi="仿宋_GB2312" w:eastAsia="仿宋_GB2312" w:cs="仿宋_GB2312"/>
          <w:color w:val="auto"/>
          <w:sz w:val="32"/>
          <w:szCs w:val="32"/>
          <w:shd w:val="clear" w:color="auto" w:fill="FFFFFF"/>
        </w:rPr>
        <w:t>并网运行的所有发供电设备，均应列入相应的调度机构的调度管辖范围。</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 xml:space="preserve">第七条  </w:t>
      </w:r>
      <w:r>
        <w:rPr>
          <w:rFonts w:hint="eastAsia" w:ascii="仿宋_GB2312" w:hAnsi="仿宋_GB2312" w:eastAsia="仿宋_GB2312" w:cs="仿宋_GB2312"/>
          <w:color w:val="auto"/>
          <w:sz w:val="32"/>
          <w:szCs w:val="32"/>
          <w:shd w:val="clear" w:color="auto" w:fill="FFFFFF"/>
        </w:rPr>
        <w:t>国调的职权</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1.负责全国电网的安全运行和调度行业管理工作。组织制定相应的规程、规章、制度、考核标准，参与制定电网运行、管理和电力体制改革等方面的政策和规定；</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2.负责大区电网间联网运行的调度管理工作，调度管辖有关发电厂、输电线路和变电站及其相应的二次设施；</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3.负责全国输变电设备的运行、电网运行方式、继电保护和安全自动装置及供电企业的有关行业管理；</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4.负责全国电力专用通信业务的行业管理；</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5.负责全国电网调度自动化的规划、建设协调及行业管理；</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6.负责电力燃料的行业管理，组织协调全国发电燃料的供应工作；</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7.监督全国主要水电厂水库的安全经济调度，协同有关部门进行汛期防洪调度管理。负责有关水电厂的水库调度工作及水电厂水库调度行业管理；</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8.负责协调跨省电网、省网调度机构调度管辖范围划分中的问题(包括确定直调厂)；</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9.负责全国调度系统的技术标准制定和调度系统值班人员的培训、考核及上岗合格证书颁发的管理工作。</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10.参加电网、重要发电厂、输变电工程的规划和设计审查，参加制定跨省电网联网方案，负责组织跨省电网联网工程的调试。</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11.配合计划部门编制年度发、供电计划和编制全国月度发电计划。监督各电网发、供电计划执行情况及电能质量。</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12.国务院电力行政主管部门授予的其它职权。</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 xml:space="preserve">第八条  </w:t>
      </w:r>
      <w:r>
        <w:rPr>
          <w:rFonts w:hint="eastAsia" w:ascii="仿宋_GB2312" w:hAnsi="仿宋_GB2312" w:eastAsia="仿宋_GB2312" w:cs="仿宋_GB2312"/>
          <w:color w:val="auto"/>
          <w:sz w:val="32"/>
          <w:szCs w:val="32"/>
          <w:shd w:val="clear" w:color="auto" w:fill="FFFFFF"/>
        </w:rPr>
        <w:t>网调的职权：</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1.负责本网的调度管理，制定相应的规章制度；参与制定电网运行技术措施、电网管理方面的规定、电力企业改革的措施等；</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2.负责本网的安全、优质、经济运行；负责主网的安全稳定运行、按计划发电和供电；</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3.根据来水情况和防洪、灌溉、航运和城市供水等方面的要求，安排本网内水电厂的运行方式；</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4.组织本网运行方式的编制并执行本跨省主网的运行方式，核准跨省电网中与主网相关联部分的运行方式；执行国调下达的跨大区电网联络线的运行方式和检修方式以及有关的调度协议；</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5.配合计划部门编制本网的年度发、供电计划和技术经济指标；依据国家规定的年度予期目标计划负责制定本网及网内各省的月度发、供电计划；负责制定和调整全网日发、供电调度计划，包括省间联络线的互换电力、电量计划，直调厂发电计划等，并监督计划执行情况；批准调度管辖范围内的设备检修；执行国调下达的跨大区电网联络线的送变电计划；</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6.领导本跨省电网的调峰、调频，指挥主网的电压调整；</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7.对调度管辖范围内的设备进行操作管理；</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8.指挥涉及本跨省电网主网的事故处理，组织事故分析，制定提高电网安全运行水平的措施；</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9.负责本网内继电保护和安全自动化装置的运行管理和技术管理。</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10.审查调度管辖范围内的新建或改建设备的并网方案，参与签订并网协议，并严格执行；参与本跨省电网内跨省联网方案的制定；参与跨省电网互联工作；负责组织网内有关新设备投产的调试工作；</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11.负责本网调度自动化系统的规划、实施、运行管理和技术管理；</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12.负责本网通信主干网络的规划、实施、运行管理和技术管理；</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13.参加跨省电网规划、系统设计和有关工程设计的审查；</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14.网调所在地未设省调时，网调兼行该省调职权；</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15.组织调度系统值班人员的培训、考核及上岗合格证书颁发等工作；</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16.负责本网内继电保护和安全自动装置的运行管理和技术管理；</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17.上级和本电网管理部门或国调批准或授予的其他职权。</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 xml:space="preserve">第九条  </w:t>
      </w:r>
      <w:r>
        <w:rPr>
          <w:rFonts w:hint="eastAsia" w:ascii="仿宋_GB2312" w:hAnsi="仿宋_GB2312" w:eastAsia="仿宋_GB2312" w:cs="仿宋_GB2312"/>
          <w:color w:val="auto"/>
          <w:sz w:val="32"/>
          <w:szCs w:val="32"/>
          <w:shd w:val="clear" w:color="auto" w:fill="FFFFFF"/>
        </w:rPr>
        <w:t>省调的职权：</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1.负责本网调度管理工作，制定相应的规章制度；参与制定电网管理、电力企业改革等方面的政策、规定和措施；</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2.负责本网的安全、优质、经济运行，按计划发、供电。跨省电网中的省调要服从网调的统一调度，维护全网的安全、优质、经济运行，并负责调度管辖电网的安全、优质、经济运行和按计划发电、供电。</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3.组织编制和执行本网的运行方式；</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跨省电网内的省调要参加全网运行方式的计算分析，本网运行方式中涉及网调管辖设备的要报网调核准；</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4.配合计划部门参加编制本网年度发、供电计划和技术经济指标，负责制定本电网月度发、供电计划，制定、下达和调整省电网日发、供电调度计划，并监督执行；监督计划执行情况；批准调度管辖范围内设备的检修；</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5.指挥并实施考核电网的调峰、调频和调压；跨省电网内的省调要根据网调的指令进行调峰和调频或控制省间联络线潮流，并指挥本省电网的调压；</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6.对调度管辖范围内的设备进行操作管理；</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7.负责指挥调度管辖电网的事故处理，分析事故原因，制定提高本省电网安全运行水平的措施；</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8.编制调度管辖范围内的新建或改建设备的并网，参与签订并网协议，并严格执行；参加本省电网与外省电网的联网方案的制定；参与组织本网新工程、新设备投产的有关接入系统的调试；</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9.负责制定事故和超计划用电拉闸限电序位表，经本级人民政府的生产调度部门审核，报本级人民政府批准后执行；</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10.负责本网通信网络、继电保护和自动化系统的规划、实施，并负责运行管理和技术管理；</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11.参与协调本省电网水电厂发电与防洪、灌溉、城市供水等方面的关系；</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12.参加本网规划、系统设计和有关工程设计的审查；</w:t>
      </w:r>
    </w:p>
    <w:p>
      <w:pPr>
        <w:ind w:firstLine="640" w:firstLineChars="200"/>
        <w:rPr>
          <w:rFonts w:hint="eastAsia" w:ascii="黑体" w:hAnsi="黑体" w:eastAsia="黑体" w:cs="仿宋_GB2312"/>
          <w:color w:val="auto"/>
          <w:sz w:val="32"/>
          <w:szCs w:val="32"/>
          <w:shd w:val="clear" w:color="auto" w:fill="FFFFFF"/>
          <w:lang w:eastAsia="zh-CN"/>
        </w:rPr>
      </w:pPr>
      <w:r>
        <w:rPr>
          <w:rFonts w:hint="eastAsia" w:ascii="黑体" w:hAnsi="黑体" w:eastAsia="黑体" w:cs="黑体"/>
          <w:i w:val="0"/>
          <w:caps w:val="0"/>
          <w:color w:val="auto"/>
          <w:spacing w:val="0"/>
          <w:sz w:val="32"/>
          <w:szCs w:val="32"/>
          <w:shd w:val="clear" w:fill="FFFFFF"/>
          <w:lang w:val="en-US" w:eastAsia="zh-CN"/>
        </w:rPr>
        <w:t xml:space="preserve">第十条  </w:t>
      </w:r>
      <w:r>
        <w:rPr>
          <w:rFonts w:hint="eastAsia" w:ascii="仿宋_GB2312" w:hAnsi="仿宋_GB2312" w:eastAsia="仿宋_GB2312" w:cs="仿宋_GB2312"/>
          <w:color w:val="auto"/>
          <w:sz w:val="32"/>
          <w:szCs w:val="32"/>
          <w:shd w:val="clear" w:color="auto" w:fill="FFFFFF"/>
        </w:rPr>
        <w:t>地调和县调的职权，由省、自治区、直辖市级电网管理部门根据本原则制定。</w:t>
      </w:r>
    </w:p>
    <w:p>
      <w:pPr>
        <w:jc w:val="center"/>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第三章 调度管辖范围</w:t>
      </w:r>
    </w:p>
    <w:p>
      <w:pPr>
        <w:ind w:firstLine="640" w:firstLineChars="200"/>
        <w:rPr>
          <w:rFonts w:hint="eastAsia" w:ascii="黑体" w:hAnsi="黑体" w:eastAsia="黑体" w:cs="黑体"/>
          <w:i w:val="0"/>
          <w:caps w:val="0"/>
          <w:color w:val="auto"/>
          <w:spacing w:val="0"/>
          <w:sz w:val="32"/>
          <w:szCs w:val="32"/>
          <w:shd w:val="clear" w:fill="FFFFFF"/>
          <w:lang w:val="en-US" w:eastAsia="zh-CN"/>
        </w:rPr>
      </w:pP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 xml:space="preserve">第十一条  </w:t>
      </w:r>
      <w:r>
        <w:rPr>
          <w:rFonts w:hint="eastAsia" w:ascii="仿宋_GB2312" w:hAnsi="仿宋_GB2312" w:eastAsia="仿宋_GB2312" w:cs="仿宋_GB2312"/>
          <w:color w:val="auto"/>
          <w:sz w:val="32"/>
          <w:szCs w:val="32"/>
          <w:shd w:val="clear" w:color="auto" w:fill="FFFFFF"/>
        </w:rPr>
        <w:t>国调的调度管辖范围为大区电网间联络线和由国务院及其电力行政主管部门指定的发电厂、变电站、输电线路以及相关的二次系统等。</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 xml:space="preserve">第十二条  </w:t>
      </w:r>
      <w:r>
        <w:rPr>
          <w:rFonts w:hint="eastAsia" w:ascii="仿宋_GB2312" w:hAnsi="仿宋_GB2312" w:eastAsia="仿宋_GB2312" w:cs="仿宋_GB2312"/>
          <w:color w:val="auto"/>
          <w:sz w:val="32"/>
          <w:szCs w:val="32"/>
          <w:shd w:val="clear" w:color="auto" w:fill="FFFFFF"/>
        </w:rPr>
        <w:t>网调的调度管辖范围为电网内除国调调度管辖之外的电压等级最高的主网架及其变电站，省间联络线及其枢纽变电站；对电网运行起重要的作用的骨干火电厂、核电厂、水电厂(站)、抽水蓄能电厂。</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 xml:space="preserve">第十三条  </w:t>
      </w:r>
      <w:r>
        <w:rPr>
          <w:rFonts w:hint="eastAsia" w:ascii="仿宋_GB2312" w:hAnsi="仿宋_GB2312" w:eastAsia="仿宋_GB2312" w:cs="仿宋_GB2312"/>
          <w:color w:val="auto"/>
          <w:sz w:val="32"/>
          <w:szCs w:val="32"/>
          <w:shd w:val="clear" w:color="auto" w:fill="FFFFFF"/>
        </w:rPr>
        <w:t>网调的调度管辖范围，应经本级电网管理部门批准，并报国调备案。</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 xml:space="preserve">第十四条  </w:t>
      </w:r>
      <w:r>
        <w:rPr>
          <w:rFonts w:hint="eastAsia" w:ascii="仿宋_GB2312" w:hAnsi="仿宋_GB2312" w:eastAsia="仿宋_GB2312" w:cs="仿宋_GB2312"/>
          <w:color w:val="auto"/>
          <w:sz w:val="32"/>
          <w:szCs w:val="32"/>
          <w:shd w:val="clear" w:color="auto" w:fill="FFFFFF"/>
        </w:rPr>
        <w:t>省、地、县调调度管辖范围的划分由省级电网管理部门根据本原则制定。跨省电网内省调的调度管辖范围，应经省级电网管理部门批准，报跨省电网管理部门备案；独立省网的省调的调度管辖范围，须经省级电网管理部门批准，报国调备案。</w:t>
      </w:r>
    </w:p>
    <w:p>
      <w:pPr>
        <w:jc w:val="center"/>
        <w:rPr>
          <w:rFonts w:hint="eastAsia" w:ascii="黑体" w:hAnsi="黑体" w:eastAsia="黑体" w:cs="仿宋_GB2312"/>
          <w:color w:val="auto"/>
          <w:sz w:val="32"/>
          <w:szCs w:val="32"/>
          <w:shd w:val="clear" w:color="auto" w:fill="FFFFFF"/>
          <w:lang w:eastAsia="zh-CN"/>
        </w:rPr>
      </w:pPr>
    </w:p>
    <w:p>
      <w:pPr>
        <w:jc w:val="center"/>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第四章 调度规则</w:t>
      </w:r>
    </w:p>
    <w:p>
      <w:pPr>
        <w:ind w:firstLine="640" w:firstLineChars="200"/>
        <w:rPr>
          <w:rFonts w:hint="eastAsia" w:ascii="黑体" w:hAnsi="黑体" w:eastAsia="黑体" w:cs="黑体"/>
          <w:i w:val="0"/>
          <w:caps w:val="0"/>
          <w:color w:val="auto"/>
          <w:spacing w:val="0"/>
          <w:sz w:val="32"/>
          <w:szCs w:val="32"/>
          <w:shd w:val="clear" w:fill="FFFFFF"/>
          <w:lang w:val="en-US" w:eastAsia="zh-CN"/>
        </w:rPr>
      </w:pP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 xml:space="preserve">第十五条  </w:t>
      </w:r>
      <w:r>
        <w:rPr>
          <w:rFonts w:hint="eastAsia" w:ascii="仿宋_GB2312" w:hAnsi="仿宋_GB2312" w:eastAsia="仿宋_GB2312" w:cs="仿宋_GB2312"/>
          <w:color w:val="auto"/>
          <w:sz w:val="32"/>
          <w:szCs w:val="32"/>
          <w:shd w:val="clear" w:color="auto" w:fill="FFFFFF"/>
        </w:rPr>
        <w:t>调峰、调频性能好、容量大的电厂以及调节性能差，需要依托大电网才能充分发挥其效益的水电厂均应由电网中最高一级调度机构直接调度。直调厂的总容量原则上应高于电网平均峰谷差一定容量。</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 xml:space="preserve">第十六条  </w:t>
      </w:r>
      <w:r>
        <w:rPr>
          <w:rFonts w:hint="eastAsia" w:ascii="仿宋_GB2312" w:hAnsi="仿宋_GB2312" w:eastAsia="仿宋_GB2312" w:cs="仿宋_GB2312"/>
          <w:color w:val="auto"/>
          <w:sz w:val="32"/>
          <w:szCs w:val="32"/>
          <w:shd w:val="clear" w:color="auto" w:fill="FFFFFF"/>
        </w:rPr>
        <w:t>网调的直调厂，须经跨省电网管理部门、国务院电力行政主管部门批准。</w:t>
      </w:r>
    </w:p>
    <w:p>
      <w:pPr>
        <w:jc w:val="center"/>
        <w:rPr>
          <w:rFonts w:hint="eastAsia" w:ascii="黑体" w:hAnsi="黑体" w:eastAsia="黑体" w:cs="仿宋_GB2312"/>
          <w:color w:val="auto"/>
          <w:sz w:val="32"/>
          <w:szCs w:val="32"/>
          <w:shd w:val="clear" w:color="auto" w:fill="FFFFFF"/>
          <w:lang w:eastAsia="zh-CN"/>
        </w:rPr>
      </w:pPr>
    </w:p>
    <w:p>
      <w:pPr>
        <w:jc w:val="center"/>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lang w:eastAsia="zh-CN"/>
        </w:rPr>
        <w:t>第五章 附  则</w:t>
      </w:r>
    </w:p>
    <w:p>
      <w:pPr>
        <w:ind w:firstLine="640" w:firstLineChars="200"/>
        <w:rPr>
          <w:rFonts w:hint="eastAsia" w:ascii="黑体" w:hAnsi="黑体" w:eastAsia="黑体" w:cs="黑体"/>
          <w:i w:val="0"/>
          <w:caps w:val="0"/>
          <w:color w:val="auto"/>
          <w:spacing w:val="0"/>
          <w:sz w:val="32"/>
          <w:szCs w:val="32"/>
          <w:shd w:val="clear" w:fill="FFFFFF"/>
          <w:lang w:val="en-US" w:eastAsia="zh-CN"/>
        </w:rPr>
      </w:pP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 xml:space="preserve">第十七条  </w:t>
      </w:r>
      <w:r>
        <w:rPr>
          <w:rFonts w:hint="eastAsia" w:ascii="仿宋_GB2312" w:hAnsi="仿宋_GB2312" w:eastAsia="仿宋_GB2312" w:cs="仿宋_GB2312"/>
          <w:color w:val="auto"/>
          <w:sz w:val="32"/>
          <w:szCs w:val="32"/>
          <w:shd w:val="clear" w:color="auto" w:fill="FFFFFF"/>
        </w:rPr>
        <w:t>本原则的解释权属国务院电力行政主管部门。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第十</w:t>
      </w:r>
      <w:bookmarkStart w:id="0" w:name="_GoBack"/>
      <w:bookmarkEnd w:id="0"/>
      <w:r>
        <w:rPr>
          <w:rFonts w:hint="eastAsia" w:ascii="黑体" w:hAnsi="黑体" w:eastAsia="黑体" w:cs="黑体"/>
          <w:i w:val="0"/>
          <w:caps w:val="0"/>
          <w:color w:val="auto"/>
          <w:spacing w:val="0"/>
          <w:sz w:val="32"/>
          <w:szCs w:val="32"/>
          <w:shd w:val="clear" w:fill="FFFFFF"/>
          <w:lang w:val="en-US" w:eastAsia="zh-CN"/>
        </w:rPr>
        <w:t xml:space="preserve">八条  </w:t>
      </w:r>
      <w:r>
        <w:rPr>
          <w:rFonts w:hint="eastAsia" w:ascii="仿宋_GB2312" w:hAnsi="仿宋_GB2312" w:eastAsia="仿宋_GB2312" w:cs="仿宋_GB2312"/>
          <w:color w:val="auto"/>
          <w:sz w:val="32"/>
          <w:szCs w:val="32"/>
          <w:shd w:val="clear" w:color="auto" w:fill="FFFFFF"/>
        </w:rPr>
        <w:t>本原则自颁发之日起执行。</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6"/>
      <w:wordWrap w:val="0"/>
      <w:ind w:left="2692" w:leftChars="1282" w:firstLine="8492" w:firstLineChars="2654"/>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0" r="0" b="0"/>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6"/>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0" r="0" b="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7D712A"/>
    <w:multiLevelType w:val="multilevel"/>
    <w:tmpl w:val="587D712A"/>
    <w:lvl w:ilvl="0" w:tentative="0">
      <w:start w:val="1"/>
      <w:numFmt w:val="chineseCountingThousand"/>
      <w:pStyle w:val="14"/>
      <w:lvlText w:val="第%1条 "/>
      <w:lvlJc w:val="left"/>
      <w:pPr>
        <w:tabs>
          <w:tab w:val="left" w:pos="3040"/>
        </w:tabs>
        <w:ind w:left="3040" w:hanging="720"/>
      </w:pPr>
      <w:rPr>
        <w:rFonts w:hint="eastAsia" w:ascii="仿宋_GB2312" w:hAnsi="Calibri" w:eastAsia="仿宋_GB2312"/>
        <w:b/>
        <w:bCs/>
        <w:i w:val="0"/>
        <w:iCs w:val="0"/>
        <w:caps w:val="0"/>
        <w:smallCaps w:val="0"/>
        <w:strike w:val="0"/>
        <w:dstrike w:val="0"/>
        <w:vanish w:val="0"/>
        <w:color w:val="auto"/>
        <w:spacing w:val="0"/>
        <w:w w:val="100"/>
        <w:kern w:val="0"/>
        <w:position w:val="0"/>
        <w:sz w:val="30"/>
        <w:szCs w:val="30"/>
        <w:u w:val="none"/>
        <w:vertAlign w:val="baseline"/>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lNzcxYTM1NmY3MDg2NTY2OGU1ZjAxZTY1OTYxOTA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2B66ACF"/>
    <w:rsid w:val="04B679C3"/>
    <w:rsid w:val="080F63D8"/>
    <w:rsid w:val="09341458"/>
    <w:rsid w:val="0B0912D7"/>
    <w:rsid w:val="0EEB6583"/>
    <w:rsid w:val="152D2DCA"/>
    <w:rsid w:val="17BC441C"/>
    <w:rsid w:val="17FFA1C8"/>
    <w:rsid w:val="19BD1269"/>
    <w:rsid w:val="1B732A46"/>
    <w:rsid w:val="1BBB6588"/>
    <w:rsid w:val="1BDB51A8"/>
    <w:rsid w:val="1DEC284C"/>
    <w:rsid w:val="1E6523AC"/>
    <w:rsid w:val="1EBDDF51"/>
    <w:rsid w:val="1F278341"/>
    <w:rsid w:val="1F4F7756"/>
    <w:rsid w:val="1FFFB036"/>
    <w:rsid w:val="22440422"/>
    <w:rsid w:val="25B79C9D"/>
    <w:rsid w:val="25C7C09F"/>
    <w:rsid w:val="27DFD9D1"/>
    <w:rsid w:val="29CBDA0D"/>
    <w:rsid w:val="2BA5132B"/>
    <w:rsid w:val="2CFFAADC"/>
    <w:rsid w:val="2EBD59F7"/>
    <w:rsid w:val="2F5DCD50"/>
    <w:rsid w:val="2FB735FB"/>
    <w:rsid w:val="2FD3BF00"/>
    <w:rsid w:val="2FDFF676"/>
    <w:rsid w:val="2FFA02DB"/>
    <w:rsid w:val="2FFF36DA"/>
    <w:rsid w:val="2FFFBA28"/>
    <w:rsid w:val="31A15F24"/>
    <w:rsid w:val="32CA3BD3"/>
    <w:rsid w:val="32EF389E"/>
    <w:rsid w:val="3377EBFE"/>
    <w:rsid w:val="337FEB87"/>
    <w:rsid w:val="34EE199E"/>
    <w:rsid w:val="36FFA0FC"/>
    <w:rsid w:val="37B58384"/>
    <w:rsid w:val="37DF1BAD"/>
    <w:rsid w:val="389032E8"/>
    <w:rsid w:val="38EFB39B"/>
    <w:rsid w:val="395347B5"/>
    <w:rsid w:val="39A232A0"/>
    <w:rsid w:val="39E745AA"/>
    <w:rsid w:val="39F83B42"/>
    <w:rsid w:val="3B5A6BBB"/>
    <w:rsid w:val="3B655987"/>
    <w:rsid w:val="3BE5028F"/>
    <w:rsid w:val="3BFF5F28"/>
    <w:rsid w:val="3C7B7CBC"/>
    <w:rsid w:val="3D334DF0"/>
    <w:rsid w:val="3DB5B9E8"/>
    <w:rsid w:val="3DE70E60"/>
    <w:rsid w:val="3DF761CD"/>
    <w:rsid w:val="3EDA13A6"/>
    <w:rsid w:val="3EFC6A1C"/>
    <w:rsid w:val="3EFCFAFD"/>
    <w:rsid w:val="3F77A7A1"/>
    <w:rsid w:val="3F9F1582"/>
    <w:rsid w:val="3FAFE483"/>
    <w:rsid w:val="3FDDB6EE"/>
    <w:rsid w:val="3FDF8326"/>
    <w:rsid w:val="3FF97F04"/>
    <w:rsid w:val="3FFBACE2"/>
    <w:rsid w:val="3FFF2223"/>
    <w:rsid w:val="42F058B7"/>
    <w:rsid w:val="436109F6"/>
    <w:rsid w:val="441A38D4"/>
    <w:rsid w:val="44D7AAE4"/>
    <w:rsid w:val="45BB5D4B"/>
    <w:rsid w:val="47FE48A2"/>
    <w:rsid w:val="4BC77339"/>
    <w:rsid w:val="4C9236C5"/>
    <w:rsid w:val="4CEE2C38"/>
    <w:rsid w:val="4F79943F"/>
    <w:rsid w:val="505C172E"/>
    <w:rsid w:val="5130083F"/>
    <w:rsid w:val="51767776"/>
    <w:rsid w:val="52F46F0B"/>
    <w:rsid w:val="53D8014D"/>
    <w:rsid w:val="55E064E0"/>
    <w:rsid w:val="56F75555"/>
    <w:rsid w:val="56FF2045"/>
    <w:rsid w:val="572C6D10"/>
    <w:rsid w:val="577408B4"/>
    <w:rsid w:val="57BD1372"/>
    <w:rsid w:val="57BF6B61"/>
    <w:rsid w:val="57FDEFBB"/>
    <w:rsid w:val="57FE2FB0"/>
    <w:rsid w:val="57FF5DDE"/>
    <w:rsid w:val="5A3CC89A"/>
    <w:rsid w:val="5BF28984"/>
    <w:rsid w:val="5D3FF580"/>
    <w:rsid w:val="5DC34279"/>
    <w:rsid w:val="5DEA0000"/>
    <w:rsid w:val="5DF74826"/>
    <w:rsid w:val="5EF69505"/>
    <w:rsid w:val="5EFF0C88"/>
    <w:rsid w:val="5F270B75"/>
    <w:rsid w:val="5F5F8845"/>
    <w:rsid w:val="5F7F160F"/>
    <w:rsid w:val="5F9D455B"/>
    <w:rsid w:val="5FAA30E0"/>
    <w:rsid w:val="5FC664F4"/>
    <w:rsid w:val="5FEB36B9"/>
    <w:rsid w:val="5FF5BF63"/>
    <w:rsid w:val="5FF90BD1"/>
    <w:rsid w:val="5FFC9B7B"/>
    <w:rsid w:val="5FFF2E1A"/>
    <w:rsid w:val="5FFF7EED"/>
    <w:rsid w:val="608816D1"/>
    <w:rsid w:val="60EF4E7F"/>
    <w:rsid w:val="656B7E57"/>
    <w:rsid w:val="665233C1"/>
    <w:rsid w:val="665B2756"/>
    <w:rsid w:val="66F70CB0"/>
    <w:rsid w:val="66FC4090"/>
    <w:rsid w:val="67EFDA1D"/>
    <w:rsid w:val="67FF3D82"/>
    <w:rsid w:val="6ABD2929"/>
    <w:rsid w:val="6AD9688B"/>
    <w:rsid w:val="6B7302A7"/>
    <w:rsid w:val="6BDD318F"/>
    <w:rsid w:val="6BF31175"/>
    <w:rsid w:val="6C7FFC6F"/>
    <w:rsid w:val="6D0E3F22"/>
    <w:rsid w:val="6D9B3DD7"/>
    <w:rsid w:val="6DCF567B"/>
    <w:rsid w:val="6DDD37A4"/>
    <w:rsid w:val="6DDED3CC"/>
    <w:rsid w:val="6DEDF650"/>
    <w:rsid w:val="6DFBD8DF"/>
    <w:rsid w:val="6E6FD416"/>
    <w:rsid w:val="6E7DECC8"/>
    <w:rsid w:val="6EB7FCF1"/>
    <w:rsid w:val="6EED3DC3"/>
    <w:rsid w:val="6EEE4CCE"/>
    <w:rsid w:val="6EF93AF8"/>
    <w:rsid w:val="6EF9EFF9"/>
    <w:rsid w:val="6F5F0DE1"/>
    <w:rsid w:val="6F6F0770"/>
    <w:rsid w:val="6FBD16E7"/>
    <w:rsid w:val="6FBD1DA1"/>
    <w:rsid w:val="6FBDA763"/>
    <w:rsid w:val="6FBF7CE4"/>
    <w:rsid w:val="6FCF238B"/>
    <w:rsid w:val="6FFB1DC4"/>
    <w:rsid w:val="6FFB5A95"/>
    <w:rsid w:val="72B5D1A3"/>
    <w:rsid w:val="739F2374"/>
    <w:rsid w:val="73BF2CD9"/>
    <w:rsid w:val="73DB9893"/>
    <w:rsid w:val="74BF0C49"/>
    <w:rsid w:val="75CF12AD"/>
    <w:rsid w:val="75FBC166"/>
    <w:rsid w:val="75FD4E61"/>
    <w:rsid w:val="75FD8972"/>
    <w:rsid w:val="75FE6A66"/>
    <w:rsid w:val="7628F50C"/>
    <w:rsid w:val="76F5EEBD"/>
    <w:rsid w:val="775FC378"/>
    <w:rsid w:val="7767213F"/>
    <w:rsid w:val="77BC6D02"/>
    <w:rsid w:val="77BFD8BB"/>
    <w:rsid w:val="77CD0416"/>
    <w:rsid w:val="77DF3E4C"/>
    <w:rsid w:val="77DF7100"/>
    <w:rsid w:val="77EB396D"/>
    <w:rsid w:val="77FB40C2"/>
    <w:rsid w:val="77FF0047"/>
    <w:rsid w:val="77FFBE90"/>
    <w:rsid w:val="78F437FD"/>
    <w:rsid w:val="79B79273"/>
    <w:rsid w:val="79D7C0D0"/>
    <w:rsid w:val="79FF86E7"/>
    <w:rsid w:val="7A9F5874"/>
    <w:rsid w:val="7AD76BED"/>
    <w:rsid w:val="7AFC268B"/>
    <w:rsid w:val="7B4B72BC"/>
    <w:rsid w:val="7B7BD9A7"/>
    <w:rsid w:val="7B7C91F7"/>
    <w:rsid w:val="7B7DB6FA"/>
    <w:rsid w:val="7BBDE7B2"/>
    <w:rsid w:val="7BC9341C"/>
    <w:rsid w:val="7BCF5325"/>
    <w:rsid w:val="7BDF8AFB"/>
    <w:rsid w:val="7BF35A3C"/>
    <w:rsid w:val="7BF53015"/>
    <w:rsid w:val="7BF71CFC"/>
    <w:rsid w:val="7BFB012A"/>
    <w:rsid w:val="7BFBA607"/>
    <w:rsid w:val="7BFFA162"/>
    <w:rsid w:val="7C9011D9"/>
    <w:rsid w:val="7CD2544C"/>
    <w:rsid w:val="7CFFF3D7"/>
    <w:rsid w:val="7D56DE4D"/>
    <w:rsid w:val="7D5F28B6"/>
    <w:rsid w:val="7D6B0DA1"/>
    <w:rsid w:val="7D6F68DB"/>
    <w:rsid w:val="7D8B449F"/>
    <w:rsid w:val="7DBD14F4"/>
    <w:rsid w:val="7DC651C5"/>
    <w:rsid w:val="7DE3215B"/>
    <w:rsid w:val="7DFBF2AE"/>
    <w:rsid w:val="7E294B86"/>
    <w:rsid w:val="7E3F032E"/>
    <w:rsid w:val="7EB3B66D"/>
    <w:rsid w:val="7EB60FE6"/>
    <w:rsid w:val="7ECD178F"/>
    <w:rsid w:val="7EE9A165"/>
    <w:rsid w:val="7EEFF04F"/>
    <w:rsid w:val="7EF48808"/>
    <w:rsid w:val="7EF5684F"/>
    <w:rsid w:val="7EF60792"/>
    <w:rsid w:val="7EF75746"/>
    <w:rsid w:val="7EFF1560"/>
    <w:rsid w:val="7F4FED1E"/>
    <w:rsid w:val="7F7E0066"/>
    <w:rsid w:val="7F7F96DF"/>
    <w:rsid w:val="7FAF9E61"/>
    <w:rsid w:val="7FCC2834"/>
    <w:rsid w:val="7FD135D1"/>
    <w:rsid w:val="7FD7DBCA"/>
    <w:rsid w:val="7FDFFA1D"/>
    <w:rsid w:val="7FE77640"/>
    <w:rsid w:val="7FE7B91D"/>
    <w:rsid w:val="7FF7963E"/>
    <w:rsid w:val="7FF7EA15"/>
    <w:rsid w:val="7FFAA49E"/>
    <w:rsid w:val="7FFAA6B1"/>
    <w:rsid w:val="7FFAB30C"/>
    <w:rsid w:val="7FFAF97B"/>
    <w:rsid w:val="7FFBF2EB"/>
    <w:rsid w:val="7FFBF829"/>
    <w:rsid w:val="7FFD1987"/>
    <w:rsid w:val="7FFED817"/>
    <w:rsid w:val="7FFFA444"/>
    <w:rsid w:val="7FFFBB60"/>
    <w:rsid w:val="879B9C3D"/>
    <w:rsid w:val="8F666B71"/>
    <w:rsid w:val="945FAAC6"/>
    <w:rsid w:val="95FEE768"/>
    <w:rsid w:val="962F4CE3"/>
    <w:rsid w:val="97F3756A"/>
    <w:rsid w:val="99BD86EF"/>
    <w:rsid w:val="99E67EB2"/>
    <w:rsid w:val="9B7EA4CA"/>
    <w:rsid w:val="9BF7266C"/>
    <w:rsid w:val="9C6F29B0"/>
    <w:rsid w:val="9FB765D5"/>
    <w:rsid w:val="9FF9C3D0"/>
    <w:rsid w:val="9FFA8961"/>
    <w:rsid w:val="9FFDECDE"/>
    <w:rsid w:val="AC7F8867"/>
    <w:rsid w:val="AED63A74"/>
    <w:rsid w:val="B277239B"/>
    <w:rsid w:val="B3FB924B"/>
    <w:rsid w:val="B4DF0C80"/>
    <w:rsid w:val="B6FF874E"/>
    <w:rsid w:val="B75F689D"/>
    <w:rsid w:val="B7DDA879"/>
    <w:rsid w:val="B7E31E50"/>
    <w:rsid w:val="B7FFCFD2"/>
    <w:rsid w:val="B92DBCEC"/>
    <w:rsid w:val="B9AE470F"/>
    <w:rsid w:val="BAF7571D"/>
    <w:rsid w:val="BAFB618F"/>
    <w:rsid w:val="BB653B84"/>
    <w:rsid w:val="BBB62CAA"/>
    <w:rsid w:val="BBD3E03E"/>
    <w:rsid w:val="BBE5156A"/>
    <w:rsid w:val="BBED85C0"/>
    <w:rsid w:val="BBFB92C0"/>
    <w:rsid w:val="BCFF279E"/>
    <w:rsid w:val="BD365EC5"/>
    <w:rsid w:val="BDDF162B"/>
    <w:rsid w:val="BE5E3F61"/>
    <w:rsid w:val="BE601DF5"/>
    <w:rsid w:val="BE6B8828"/>
    <w:rsid w:val="BE7B8F20"/>
    <w:rsid w:val="BF7B5835"/>
    <w:rsid w:val="BF7F10E3"/>
    <w:rsid w:val="BF7F3D1B"/>
    <w:rsid w:val="BF7F5761"/>
    <w:rsid w:val="BFBF92C6"/>
    <w:rsid w:val="BFD79C69"/>
    <w:rsid w:val="BFFBF2B5"/>
    <w:rsid w:val="C7DFADFC"/>
    <w:rsid w:val="C9FEE981"/>
    <w:rsid w:val="CEFD8339"/>
    <w:rsid w:val="CF2F23B2"/>
    <w:rsid w:val="CF7B3612"/>
    <w:rsid w:val="CFAFBA5B"/>
    <w:rsid w:val="CFCD5BB2"/>
    <w:rsid w:val="CFD32005"/>
    <w:rsid w:val="D1BF19AC"/>
    <w:rsid w:val="D1FE9833"/>
    <w:rsid w:val="D23C1BA5"/>
    <w:rsid w:val="D2D37864"/>
    <w:rsid w:val="D2FB1B85"/>
    <w:rsid w:val="D34BC943"/>
    <w:rsid w:val="D3FF3A42"/>
    <w:rsid w:val="D47D4CA4"/>
    <w:rsid w:val="D4F31584"/>
    <w:rsid w:val="D4FD5AE0"/>
    <w:rsid w:val="D5BB3CC8"/>
    <w:rsid w:val="D69B0104"/>
    <w:rsid w:val="D7FFA5FD"/>
    <w:rsid w:val="D96AC38F"/>
    <w:rsid w:val="DABE41CD"/>
    <w:rsid w:val="DAEEB98F"/>
    <w:rsid w:val="DB3D85E5"/>
    <w:rsid w:val="DB475DE5"/>
    <w:rsid w:val="DB5E1127"/>
    <w:rsid w:val="DB5FCC73"/>
    <w:rsid w:val="DBF9817F"/>
    <w:rsid w:val="DC3D592B"/>
    <w:rsid w:val="DDD95963"/>
    <w:rsid w:val="DE6E2EE0"/>
    <w:rsid w:val="DEEF3F40"/>
    <w:rsid w:val="DEF38FAF"/>
    <w:rsid w:val="DEFF35E3"/>
    <w:rsid w:val="DF1AD4CC"/>
    <w:rsid w:val="DF7C8AC4"/>
    <w:rsid w:val="DF8E66A1"/>
    <w:rsid w:val="DF9D175E"/>
    <w:rsid w:val="DFAA44C5"/>
    <w:rsid w:val="DFC2398D"/>
    <w:rsid w:val="DFCFA525"/>
    <w:rsid w:val="DFD67317"/>
    <w:rsid w:val="DFDFDA74"/>
    <w:rsid w:val="DFEE6993"/>
    <w:rsid w:val="DFFD739C"/>
    <w:rsid w:val="E11EB014"/>
    <w:rsid w:val="E1EC7953"/>
    <w:rsid w:val="E52EFA31"/>
    <w:rsid w:val="E5DF2278"/>
    <w:rsid w:val="E9EEA1D6"/>
    <w:rsid w:val="EAB78AAD"/>
    <w:rsid w:val="EBFA8EE4"/>
    <w:rsid w:val="EBFD0722"/>
    <w:rsid w:val="ED5F42F5"/>
    <w:rsid w:val="EDF797F3"/>
    <w:rsid w:val="EDFE06DE"/>
    <w:rsid w:val="EE5D41EC"/>
    <w:rsid w:val="EEBF5108"/>
    <w:rsid w:val="EEBFF862"/>
    <w:rsid w:val="EEEEA064"/>
    <w:rsid w:val="EEEF47C5"/>
    <w:rsid w:val="EEFD7B28"/>
    <w:rsid w:val="EEFF6EE0"/>
    <w:rsid w:val="EF359C22"/>
    <w:rsid w:val="EF4E09E2"/>
    <w:rsid w:val="EF67624A"/>
    <w:rsid w:val="EF7F45D0"/>
    <w:rsid w:val="EFB7EEE4"/>
    <w:rsid w:val="EFBF60F6"/>
    <w:rsid w:val="EFEA3942"/>
    <w:rsid w:val="EFF77647"/>
    <w:rsid w:val="EFFE30B3"/>
    <w:rsid w:val="F08FE747"/>
    <w:rsid w:val="F0DF64A4"/>
    <w:rsid w:val="F16EF415"/>
    <w:rsid w:val="F25DAEDF"/>
    <w:rsid w:val="F35B694B"/>
    <w:rsid w:val="F57E6A3A"/>
    <w:rsid w:val="F5BD794D"/>
    <w:rsid w:val="F5E723B2"/>
    <w:rsid w:val="F5F471E0"/>
    <w:rsid w:val="F5FE4ADE"/>
    <w:rsid w:val="F6332D9E"/>
    <w:rsid w:val="F6ED53E9"/>
    <w:rsid w:val="F75B5CBF"/>
    <w:rsid w:val="F77BCA88"/>
    <w:rsid w:val="F79717FB"/>
    <w:rsid w:val="F7B3A381"/>
    <w:rsid w:val="F7B3F3E2"/>
    <w:rsid w:val="F7C94348"/>
    <w:rsid w:val="F7CF4952"/>
    <w:rsid w:val="F7D5EDA4"/>
    <w:rsid w:val="F7F6A7AE"/>
    <w:rsid w:val="F7F756CE"/>
    <w:rsid w:val="F7F81CDA"/>
    <w:rsid w:val="F7FBED8E"/>
    <w:rsid w:val="F7FF1F28"/>
    <w:rsid w:val="F8B4DC62"/>
    <w:rsid w:val="F8BE98DD"/>
    <w:rsid w:val="F99FE568"/>
    <w:rsid w:val="F9B9FE69"/>
    <w:rsid w:val="F9DD0A94"/>
    <w:rsid w:val="FAF75F60"/>
    <w:rsid w:val="FB3E5892"/>
    <w:rsid w:val="FB5FB8BD"/>
    <w:rsid w:val="FBB7AED5"/>
    <w:rsid w:val="FBBE8905"/>
    <w:rsid w:val="FBDA6CD1"/>
    <w:rsid w:val="FBDD1279"/>
    <w:rsid w:val="FCB3DEB4"/>
    <w:rsid w:val="FCBBB3AF"/>
    <w:rsid w:val="FCF412DF"/>
    <w:rsid w:val="FCFEB2D7"/>
    <w:rsid w:val="FD0F92BA"/>
    <w:rsid w:val="FD43408D"/>
    <w:rsid w:val="FD773E7F"/>
    <w:rsid w:val="FDA5CCCF"/>
    <w:rsid w:val="FDDF4494"/>
    <w:rsid w:val="FDDF6814"/>
    <w:rsid w:val="FDEE3684"/>
    <w:rsid w:val="FDF556F9"/>
    <w:rsid w:val="FDF6EEE8"/>
    <w:rsid w:val="FDF72EE3"/>
    <w:rsid w:val="FDFB056F"/>
    <w:rsid w:val="FDFB180D"/>
    <w:rsid w:val="FDFB8F19"/>
    <w:rsid w:val="FEDABF33"/>
    <w:rsid w:val="FEEB387D"/>
    <w:rsid w:val="FEEBC6CE"/>
    <w:rsid w:val="FEED22E8"/>
    <w:rsid w:val="FEF94E68"/>
    <w:rsid w:val="FEFE4BA3"/>
    <w:rsid w:val="FEFED136"/>
    <w:rsid w:val="FEFF6849"/>
    <w:rsid w:val="FEFF8456"/>
    <w:rsid w:val="FEFFFC54"/>
    <w:rsid w:val="FF0BEE05"/>
    <w:rsid w:val="FF75B59D"/>
    <w:rsid w:val="FF7AC518"/>
    <w:rsid w:val="FF8F167A"/>
    <w:rsid w:val="FFAF7FE0"/>
    <w:rsid w:val="FFCBC52E"/>
    <w:rsid w:val="FFCFA71A"/>
    <w:rsid w:val="FFD39751"/>
    <w:rsid w:val="FFDB1D84"/>
    <w:rsid w:val="FFDB74D6"/>
    <w:rsid w:val="FFDB85EC"/>
    <w:rsid w:val="FFDE8E6F"/>
    <w:rsid w:val="FFDF7530"/>
    <w:rsid w:val="FFE4937B"/>
    <w:rsid w:val="FFE7C723"/>
    <w:rsid w:val="FFE9A8EC"/>
    <w:rsid w:val="FFEFE623"/>
    <w:rsid w:val="FFF75922"/>
    <w:rsid w:val="FFF76AC7"/>
    <w:rsid w:val="FFF9BD2A"/>
    <w:rsid w:val="FFFA908F"/>
    <w:rsid w:val="FFFF3715"/>
    <w:rsid w:val="FFFF5C72"/>
    <w:rsid w:val="FFFFAAE2"/>
    <w:rsid w:val="FFFFC2BB"/>
    <w:rsid w:val="FFFFF65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Body Text"/>
    <w:basedOn w:val="1"/>
    <w:qFormat/>
    <w:uiPriority w:val="99"/>
    <w:pPr>
      <w:spacing w:after="120"/>
    </w:pPr>
    <w:rPr>
      <w:rFonts w:cs="Times New Roman"/>
    </w:rPr>
  </w:style>
  <w:style w:type="paragraph" w:styleId="4">
    <w:name w:val="Balloon Text"/>
    <w:basedOn w:val="1"/>
    <w:link w:val="1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annotation subject"/>
    <w:basedOn w:val="2"/>
    <w:next w:val="2"/>
    <w:link w:val="13"/>
    <w:qFormat/>
    <w:uiPriority w:val="0"/>
    <w:rPr>
      <w:b/>
      <w:bCs/>
    </w:rPr>
  </w:style>
  <w:style w:type="character" w:styleId="10">
    <w:name w:val="annotation reference"/>
    <w:basedOn w:val="9"/>
    <w:qFormat/>
    <w:uiPriority w:val="0"/>
    <w:rPr>
      <w:sz w:val="21"/>
      <w:szCs w:val="21"/>
    </w:rPr>
  </w:style>
  <w:style w:type="character" w:customStyle="1" w:styleId="11">
    <w:name w:val="批注框文本 Char"/>
    <w:basedOn w:val="9"/>
    <w:link w:val="4"/>
    <w:qFormat/>
    <w:uiPriority w:val="0"/>
    <w:rPr>
      <w:rFonts w:asciiTheme="minorHAnsi" w:hAnsiTheme="minorHAnsi" w:eastAsiaTheme="minorEastAsia" w:cstheme="minorBidi"/>
      <w:kern w:val="2"/>
      <w:sz w:val="18"/>
      <w:szCs w:val="18"/>
    </w:rPr>
  </w:style>
  <w:style w:type="character" w:customStyle="1" w:styleId="12">
    <w:name w:val="批注文字 Char"/>
    <w:basedOn w:val="9"/>
    <w:link w:val="2"/>
    <w:qFormat/>
    <w:uiPriority w:val="0"/>
    <w:rPr>
      <w:rFonts w:asciiTheme="minorHAnsi" w:hAnsiTheme="minorHAnsi" w:eastAsiaTheme="minorEastAsia" w:cstheme="minorBidi"/>
      <w:kern w:val="2"/>
      <w:sz w:val="21"/>
      <w:szCs w:val="24"/>
    </w:rPr>
  </w:style>
  <w:style w:type="character" w:customStyle="1" w:styleId="13">
    <w:name w:val="批注主题 Char"/>
    <w:basedOn w:val="12"/>
    <w:link w:val="7"/>
    <w:qFormat/>
    <w:uiPriority w:val="0"/>
  </w:style>
  <w:style w:type="paragraph" w:customStyle="1" w:styleId="14">
    <w:name w:val="自己定义"/>
    <w:basedOn w:val="1"/>
    <w:next w:val="3"/>
    <w:qFormat/>
    <w:uiPriority w:val="99"/>
    <w:pPr>
      <w:numPr>
        <w:ilvl w:val="0"/>
        <w:numId w:val="1"/>
      </w:numPr>
      <w:adjustRightInd w:val="0"/>
      <w:snapToGrid w:val="0"/>
      <w:spacing w:after="163" w:afterLines="50" w:line="360" w:lineRule="auto"/>
      <w:jc w:val="both"/>
    </w:pPr>
    <w:rPr>
      <w:rFonts w:ascii="仿宋_GB2312" w:hAnsi="华文楷体" w:eastAsia="仿宋_GB2312" w:cs="仿宋_GB2312"/>
      <w:sz w:val="30"/>
      <w:szCs w:val="30"/>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10</Pages>
  <Words>3402</Words>
  <Characters>3472</Characters>
  <Lines>6</Lines>
  <Paragraphs>1</Paragraphs>
  <TotalTime>9</TotalTime>
  <ScaleCrop>false</ScaleCrop>
  <LinksUpToDate>false</LinksUpToDate>
  <CharactersWithSpaces>3519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2022-09-04T10:23:00Z</dcterms:created>
  <dc:creator>t</dc:creator>
  <cp:lastModifiedBy>愿得一人心</cp:lastModifiedBy>
  <cp:lastPrinted>2022-09-04T09:07:00Z</cp:lastPrinted>
  <dcterms:modified xsi:type="dcterms:W3CDTF">2022-11-14T08:02:08Z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48C61CB29D3F4D9384F5922CF0F7FFB4</vt:lpwstr>
  </property>
</Properties>
</file>