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44"/>
          <w:szCs w:val="44"/>
        </w:rPr>
      </w:pPr>
    </w:p>
    <w:p>
      <w:pPr>
        <w:jc w:val="center"/>
        <w:rPr>
          <w:rFonts w:hint="eastAsia" w:asciiTheme="minorEastAsia" w:hAnsiTheme="minorEastAsia" w:eastAsiaTheme="minorEastAsia" w:cstheme="minorEastAsia"/>
          <w:b w:val="0"/>
          <w:bCs w:val="0"/>
          <w:color w:val="auto"/>
          <w:kern w:val="2"/>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国家发展改革委 财政部关于废弃物</w:t>
      </w: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2"/>
        <w:rPr>
          <w:color w:val="auto"/>
        </w:rPr>
      </w:pPr>
      <w:r>
        <w:rPr>
          <w:rFonts w:hint="eastAsia" w:asciiTheme="minorEastAsia" w:hAnsiTheme="minorEastAsia" w:eastAsiaTheme="minorEastAsia" w:cstheme="minorEastAsia"/>
          <w:b w:val="0"/>
          <w:bCs w:val="0"/>
          <w:color w:val="auto"/>
          <w:kern w:val="2"/>
          <w:sz w:val="44"/>
          <w:szCs w:val="44"/>
          <w:lang w:val="en-US" w:eastAsia="zh-CN" w:bidi="ar-SA"/>
        </w:rPr>
        <w:t>海洋倾倒费收费标准及有关问题的通知</w:t>
      </w:r>
    </w:p>
    <w:p>
      <w:pPr>
        <w:jc w:val="center"/>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w:t>
      </w:r>
      <w:r>
        <w:rPr>
          <w:rFonts w:hint="eastAsia" w:ascii="楷体_GB2312" w:hAnsi="楷体_GB2312" w:eastAsia="楷体_GB2312" w:cs="楷体_GB2312"/>
          <w:color w:val="auto"/>
          <w:sz w:val="32"/>
          <w:szCs w:val="32"/>
          <w:shd w:val="clear" w:color="auto" w:fill="FFFFFF"/>
          <w:lang w:eastAsia="zh-CN"/>
        </w:rPr>
        <w:t>发改价格</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2008</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1927</w:t>
      </w:r>
      <w:r>
        <w:rPr>
          <w:rFonts w:hint="eastAsia" w:ascii="楷体_GB2312" w:hAnsi="楷体_GB2312" w:eastAsia="楷体_GB2312" w:cs="楷体_GB2312"/>
          <w:color w:val="auto"/>
          <w:sz w:val="32"/>
          <w:szCs w:val="32"/>
          <w:shd w:val="clear" w:color="auto" w:fill="FFFFFF"/>
        </w:rPr>
        <w:t xml:space="preserve">号  </w:t>
      </w:r>
      <w:r>
        <w:rPr>
          <w:rFonts w:hint="eastAsia" w:ascii="楷体_GB2312" w:hAnsi="楷体_GB2312" w:eastAsia="楷体_GB2312" w:cs="楷体_GB2312"/>
          <w:color w:val="auto"/>
          <w:sz w:val="32"/>
          <w:szCs w:val="32"/>
          <w:shd w:val="clear" w:color="auto" w:fill="FFFFFF"/>
          <w:lang w:val="en-US" w:eastAsia="zh-CN"/>
        </w:rPr>
        <w:t>2008</w:t>
      </w:r>
      <w:r>
        <w:rPr>
          <w:rFonts w:hint="eastAsia" w:ascii="楷体_GB2312" w:hAnsi="楷体_GB2312" w:eastAsia="楷体_GB2312" w:cs="楷体_GB2312"/>
          <w:color w:val="auto"/>
          <w:sz w:val="32"/>
          <w:szCs w:val="32"/>
          <w:shd w:val="clear" w:color="auto" w:fill="FFFFFF"/>
        </w:rPr>
        <w:t>年</w:t>
      </w:r>
      <w:r>
        <w:rPr>
          <w:rFonts w:hint="eastAsia" w:ascii="楷体_GB2312" w:hAnsi="楷体_GB2312" w:eastAsia="楷体_GB2312" w:cs="楷体_GB2312"/>
          <w:color w:val="auto"/>
          <w:sz w:val="32"/>
          <w:szCs w:val="32"/>
          <w:shd w:val="clear" w:color="auto" w:fill="FFFFFF"/>
          <w:lang w:val="en-US" w:eastAsia="zh-CN"/>
        </w:rPr>
        <w:t>7</w:t>
      </w:r>
      <w:r>
        <w:rPr>
          <w:rFonts w:hint="eastAsia" w:ascii="楷体_GB2312" w:hAnsi="楷体_GB2312" w:eastAsia="楷体_GB2312" w:cs="楷体_GB2312"/>
          <w:color w:val="auto"/>
          <w:sz w:val="32"/>
          <w:szCs w:val="32"/>
          <w:shd w:val="clear" w:color="auto" w:fill="FFFFFF"/>
        </w:rPr>
        <w:t>月</w:t>
      </w:r>
      <w:r>
        <w:rPr>
          <w:rFonts w:hint="eastAsia" w:ascii="楷体_GB2312" w:hAnsi="楷体_GB2312" w:eastAsia="楷体_GB2312" w:cs="楷体_GB2312"/>
          <w:color w:val="auto"/>
          <w:sz w:val="32"/>
          <w:szCs w:val="32"/>
          <w:shd w:val="clear" w:color="auto" w:fill="FFFFFF"/>
          <w:lang w:val="en-US" w:eastAsia="zh-CN"/>
        </w:rPr>
        <w:t>28</w:t>
      </w:r>
      <w:r>
        <w:rPr>
          <w:rFonts w:hint="eastAsia" w:ascii="楷体_GB2312" w:hAnsi="楷体_GB2312" w:eastAsia="楷体_GB2312" w:cs="楷体_GB2312"/>
          <w:color w:val="auto"/>
          <w:sz w:val="32"/>
          <w:szCs w:val="32"/>
          <w:shd w:val="clear" w:color="auto" w:fill="FFFFFF"/>
        </w:rPr>
        <w:t>日印发</w:t>
      </w:r>
      <w:r>
        <w:rPr>
          <w:rFonts w:hint="eastAsia" w:ascii="楷体_GB2312" w:hAnsi="楷体_GB2312" w:eastAsia="楷体_GB2312" w:cs="楷体_GB2312"/>
          <w:color w:val="auto"/>
          <w:sz w:val="32"/>
          <w:szCs w:val="32"/>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国家海洋局，各省、自治区、直辖市发展改革委、物价局、财政厅（局）：</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你局《关于重新核定废弃物海洋倾倒费收费标准的请示》（国海财字〔2008〕6号）收悉。经研究，现将废弃物海洋倾倒费收费标准及有关问题通知如下：</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中华人民共和国内水、领海、专属经济区、大陆架和其他管辖海域倾倒各类废弃物的企事业单位及其他经济实体按规定缴纳废弃物海洋倾倒费的收费标准，按照所附《废弃物海洋倾倒费收费标准》的规定执行。</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二、废弃物海洋倾倒费由签发废弃物倾倒许可证的海洋行政主管部门收取，并按隶属关系分别上缴中央和省级国库，实行“收支两条线”管理。</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三、海洋行政主管部门认可的检验机构进行废弃物特性和成分检测向申请单位收取检测费的收费标准，由所在地省、自治区、直辖市价格、财政部门制定。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四、收费单位应按规定到指定的价格主管部门申领收费许可证，使用省、自治区、直辖市以上财政部门统一印制的票据，并自觉接受价格、财政部门的监督检查。</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五、上述标准自本通知发布之日起执行。</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FFFFFF"/>
          <w:lang w:val="en-US" w:eastAsia="zh-CN" w:bidi="ar-SA"/>
        </w:rPr>
        <w:t>附件:</w:t>
      </w:r>
      <w:r>
        <w:rPr>
          <w:rFonts w:hint="eastAsia" w:ascii="仿宋_GB2312" w:hAnsi="仿宋_GB2312" w:eastAsia="仿宋_GB2312" w:cs="仿宋_GB2312"/>
          <w:color w:val="auto"/>
          <w:sz w:val="32"/>
          <w:szCs w:val="32"/>
          <w:lang w:val="en-US" w:eastAsia="zh-CN"/>
        </w:rPr>
        <w:t>废弃物海洋倾倒费收费标准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国家发展改革委</w:t>
      </w:r>
    </w:p>
    <w:p>
      <w:pPr>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财</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政</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部</w:t>
      </w:r>
    </w:p>
    <w:p>
      <w:pPr>
        <w:jc w:val="center"/>
        <w:rPr>
          <w:rStyle w:val="17"/>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shd w:val="clear" w:color="auto" w:fill="FFFFFF"/>
          <w:lang w:val="en-US" w:eastAsia="zh-CN"/>
        </w:rPr>
        <w:t xml:space="preserve">                                     2008年7月28日</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r>
        <w:rPr>
          <w:rStyle w:val="17"/>
          <w:rFonts w:hint="eastAsia" w:ascii="仿宋_GB2312" w:hAnsi="仿宋_GB2312" w:eastAsia="仿宋_GB2312" w:cs="仿宋_GB2312"/>
          <w:color w:val="auto"/>
        </w:rPr>
        <w:br w:type="page"/>
      </w:r>
    </w:p>
    <w:p>
      <w:pPr>
        <w:rPr>
          <w:rFonts w:hint="eastAsia" w:ascii="黑体" w:hAnsi="黑体" w:eastAsia="黑体" w:cs="仿宋_GB2312"/>
          <w:color w:val="auto"/>
          <w:sz w:val="32"/>
          <w:szCs w:val="32"/>
          <w:shd w:val="clear" w:color="auto" w:fill="FFFFFF"/>
          <w:lang w:eastAsia="zh-CN"/>
        </w:rPr>
      </w:pPr>
      <w:r>
        <w:rPr>
          <w:rFonts w:hint="eastAsia" w:ascii="黑体" w:hAnsi="黑体" w:eastAsia="黑体" w:cs="仿宋_GB2312"/>
          <w:color w:val="auto"/>
          <w:sz w:val="32"/>
          <w:szCs w:val="32"/>
          <w:shd w:val="clear" w:color="auto" w:fill="FFFFFF"/>
          <w:lang w:eastAsia="zh-CN"/>
        </w:rPr>
        <w:t>附件</w:t>
      </w:r>
    </w:p>
    <w:p>
      <w:pPr>
        <w:rPr>
          <w:rFonts w:hint="eastAsia" w:ascii="黑体" w:hAnsi="黑体" w:eastAsia="黑体" w:cs="仿宋_GB2312"/>
          <w:color w:val="auto"/>
          <w:sz w:val="32"/>
          <w:szCs w:val="32"/>
          <w:shd w:val="clear" w:color="auto" w:fill="FFFFFF"/>
          <w:lang w:eastAsia="zh-CN"/>
        </w:rPr>
      </w:pPr>
    </w:p>
    <w:p>
      <w:pPr>
        <w:jc w:val="center"/>
        <w:rPr>
          <w:rFonts w:hint="default" w:asciiTheme="minorEastAsia" w:hAnsiTheme="minorEastAsia" w:cstheme="minorEastAsia"/>
          <w:color w:val="auto"/>
          <w:sz w:val="36"/>
          <w:szCs w:val="36"/>
          <w:lang w:val="en-US" w:eastAsia="zh-CN"/>
        </w:rPr>
      </w:pPr>
      <w:r>
        <w:rPr>
          <w:rFonts w:hint="eastAsia" w:asciiTheme="minorEastAsia" w:hAnsiTheme="minorEastAsia" w:cstheme="minorEastAsia"/>
          <w:color w:val="auto"/>
          <w:sz w:val="36"/>
          <w:szCs w:val="36"/>
          <w:lang w:val="en-US" w:eastAsia="zh-CN"/>
        </w:rPr>
        <w:t>废弃</w:t>
      </w:r>
      <w:r>
        <w:rPr>
          <w:rFonts w:hint="default" w:asciiTheme="minorEastAsia" w:hAnsiTheme="minorEastAsia" w:cstheme="minorEastAsia"/>
          <w:color w:val="auto"/>
          <w:sz w:val="36"/>
          <w:szCs w:val="36"/>
          <w:lang w:val="en-US" w:eastAsia="zh-CN"/>
        </w:rPr>
        <w:t>物海洋倾倒费收费标准</w:t>
      </w:r>
    </w:p>
    <w:p>
      <w:pPr>
        <w:jc w:val="right"/>
        <w:rPr>
          <w:rFonts w:ascii="仿宋_GB2312" w:hAnsi="仿宋_GB2312" w:eastAsia="仿宋_GB2312" w:cs="仿宋_GB2312"/>
          <w:color w:val="auto"/>
          <w:sz w:val="24"/>
          <w:szCs w:val="24"/>
          <w:shd w:val="clear" w:color="auto" w:fill="FFFFFF"/>
        </w:rPr>
      </w:pPr>
      <w:bookmarkStart w:id="0" w:name="_GoBack"/>
      <w:bookmarkEnd w:id="0"/>
      <w:r>
        <w:rPr>
          <w:rFonts w:hint="eastAsia" w:asciiTheme="minorEastAsia" w:hAnsiTheme="minorEastAsia" w:cstheme="minorEastAsia"/>
          <w:color w:val="auto"/>
          <w:sz w:val="21"/>
          <w:szCs w:val="21"/>
          <w:lang w:val="en-US" w:eastAsia="zh-CN"/>
        </w:rPr>
        <w:t>（单位：元/立方米）</w:t>
      </w:r>
    </w:p>
    <w:tbl>
      <w:tblPr>
        <w:tblStyle w:val="12"/>
        <w:tblW w:w="8789" w:type="dxa"/>
        <w:jc w:val="center"/>
        <w:tblLayout w:type="fixed"/>
        <w:tblCellMar>
          <w:top w:w="0" w:type="dxa"/>
          <w:left w:w="108" w:type="dxa"/>
          <w:bottom w:w="0" w:type="dxa"/>
          <w:right w:w="108" w:type="dxa"/>
        </w:tblCellMar>
      </w:tblPr>
      <w:tblGrid>
        <w:gridCol w:w="630"/>
        <w:gridCol w:w="1037"/>
        <w:gridCol w:w="2197"/>
        <w:gridCol w:w="1632"/>
        <w:gridCol w:w="1686"/>
        <w:gridCol w:w="1607"/>
      </w:tblGrid>
      <w:tr>
        <w:tblPrEx>
          <w:tblCellMar>
            <w:top w:w="0" w:type="dxa"/>
            <w:left w:w="108" w:type="dxa"/>
            <w:bottom w:w="0" w:type="dxa"/>
            <w:right w:w="108" w:type="dxa"/>
          </w:tblCellMar>
        </w:tblPrEx>
        <w:trPr>
          <w:trHeight w:val="607" w:hRule="atLeast"/>
          <w:jc w:val="center"/>
        </w:trPr>
        <w:tc>
          <w:tcPr>
            <w:tcW w:w="3864" w:type="dxa"/>
            <w:gridSpan w:val="3"/>
            <w:tcBorders>
              <w:top w:val="single" w:color="auto" w:sz="6" w:space="0"/>
              <w:left w:val="single" w:color="auto" w:sz="6" w:space="0"/>
              <w:bottom w:val="single" w:color="auto" w:sz="6" w:space="0"/>
              <w:right w:val="single" w:color="auto" w:sz="6" w:space="0"/>
              <w:tl2br w:val="single" w:color="auto" w:sz="6" w:space="0"/>
            </w:tcBorders>
            <w:vAlign w:val="top"/>
          </w:tcPr>
          <w:p>
            <w:pPr>
              <w:ind w:left="-90"/>
              <w:jc w:val="left"/>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 xml:space="preserve">             倾倒地点与倾倒方式</w:t>
            </w:r>
          </w:p>
          <w:p>
            <w:pPr>
              <w:ind w:left="-90"/>
              <w:jc w:val="left"/>
              <w:rPr>
                <w:rFonts w:hint="eastAsia" w:ascii="方正黑体_GBK" w:hAnsi="方正黑体_GBK" w:eastAsia="方正黑体_GBK" w:cs="方正黑体_GBK"/>
                <w:b w:val="0"/>
                <w:bCs/>
                <w:color w:val="auto"/>
                <w:kern w:val="0"/>
                <w:sz w:val="24"/>
                <w:szCs w:val="24"/>
              </w:rPr>
            </w:pPr>
            <w:r>
              <w:rPr>
                <w:rFonts w:hint="eastAsia" w:ascii="方正黑体_GBK" w:hAnsi="方正黑体_GBK" w:eastAsia="方正黑体_GBK" w:cs="方正黑体_GBK"/>
                <w:b w:val="0"/>
                <w:bCs/>
                <w:color w:val="auto"/>
                <w:kern w:val="0"/>
                <w:sz w:val="24"/>
                <w:szCs w:val="24"/>
              </w:rPr>
              <w:t>废弃物种类</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kern w:val="0"/>
                <w:sz w:val="24"/>
                <w:szCs w:val="24"/>
              </w:rPr>
              <w:t>近岸倾倒A</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kern w:val="0"/>
                <w:sz w:val="24"/>
                <w:szCs w:val="24"/>
              </w:rPr>
              <w:t>远海倾倒B</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kern w:val="0"/>
                <w:sz w:val="24"/>
                <w:szCs w:val="24"/>
              </w:rPr>
              <w:t>有益处置C</w:t>
            </w:r>
          </w:p>
        </w:tc>
      </w:tr>
      <w:tr>
        <w:tblPrEx>
          <w:tblCellMar>
            <w:top w:w="0" w:type="dxa"/>
            <w:left w:w="108" w:type="dxa"/>
            <w:bottom w:w="0" w:type="dxa"/>
            <w:right w:w="108" w:type="dxa"/>
          </w:tblCellMar>
        </w:tblPrEx>
        <w:trPr>
          <w:trHeight w:val="397" w:hRule="atLeast"/>
          <w:jc w:val="center"/>
        </w:trPr>
        <w:tc>
          <w:tcPr>
            <w:tcW w:w="630" w:type="dxa"/>
            <w:vMerge w:val="restart"/>
            <w:tcBorders>
              <w:top w:val="single" w:color="auto" w:sz="6" w:space="0"/>
              <w:left w:val="single" w:color="auto" w:sz="6" w:space="0"/>
              <w:right w:val="single" w:color="auto" w:sz="6" w:space="0"/>
            </w:tcBorders>
            <w:vAlign w:val="center"/>
          </w:tcPr>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疏</w:t>
            </w:r>
          </w:p>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浚</w:t>
            </w:r>
          </w:p>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物</w:t>
            </w:r>
          </w:p>
        </w:tc>
        <w:tc>
          <w:tcPr>
            <w:tcW w:w="3234" w:type="dxa"/>
            <w:gridSpan w:val="2"/>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清洁疏浚物</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0.30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0.15</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0.05</w:t>
            </w:r>
          </w:p>
        </w:tc>
      </w:tr>
      <w:tr>
        <w:tblPrEx>
          <w:tblCellMar>
            <w:top w:w="0" w:type="dxa"/>
            <w:left w:w="108" w:type="dxa"/>
            <w:bottom w:w="0" w:type="dxa"/>
            <w:right w:w="108" w:type="dxa"/>
          </w:tblCellMar>
        </w:tblPrEx>
        <w:trPr>
          <w:trHeight w:val="397" w:hRule="atLeast"/>
          <w:jc w:val="center"/>
        </w:trPr>
        <w:tc>
          <w:tcPr>
            <w:tcW w:w="630" w:type="dxa"/>
            <w:vMerge w:val="continue"/>
            <w:tcBorders>
              <w:left w:val="single" w:color="auto" w:sz="6" w:space="0"/>
              <w:right w:val="single" w:color="auto" w:sz="6" w:space="0"/>
            </w:tcBorders>
            <w:vAlign w:val="center"/>
          </w:tcPr>
          <w:p>
            <w:pPr>
              <w:ind w:left="-90"/>
              <w:rPr>
                <w:rFonts w:hint="default" w:ascii="Times New Roman" w:hAnsi="Times New Roman" w:eastAsia="仿宋_GB2312" w:cs="Times New Roman"/>
                <w:color w:val="auto"/>
                <w:kern w:val="0"/>
                <w:sz w:val="24"/>
                <w:szCs w:val="24"/>
              </w:rPr>
            </w:pPr>
          </w:p>
        </w:tc>
        <w:tc>
          <w:tcPr>
            <w:tcW w:w="1037" w:type="dxa"/>
            <w:vMerge w:val="restart"/>
            <w:tcBorders>
              <w:top w:val="single" w:color="auto" w:sz="6" w:space="0"/>
              <w:left w:val="single" w:color="auto" w:sz="6" w:space="0"/>
              <w:right w:val="single" w:color="auto" w:sz="6" w:space="0"/>
            </w:tcBorders>
            <w:vAlign w:val="center"/>
          </w:tcPr>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沾污</w:t>
            </w:r>
          </w:p>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疏浚物</w:t>
            </w:r>
          </w:p>
        </w:tc>
        <w:tc>
          <w:tcPr>
            <w:tcW w:w="2197" w:type="dxa"/>
            <w:tcBorders>
              <w:top w:val="single" w:color="auto" w:sz="6" w:space="0"/>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通过全部生物学检验</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0.40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0.10</w:t>
            </w:r>
          </w:p>
        </w:tc>
      </w:tr>
      <w:tr>
        <w:tblPrEx>
          <w:tblCellMar>
            <w:top w:w="0" w:type="dxa"/>
            <w:left w:w="108" w:type="dxa"/>
            <w:bottom w:w="0" w:type="dxa"/>
            <w:right w:w="108" w:type="dxa"/>
          </w:tblCellMar>
        </w:tblPrEx>
        <w:trPr>
          <w:trHeight w:val="397" w:hRule="atLeast"/>
          <w:jc w:val="center"/>
        </w:trPr>
        <w:tc>
          <w:tcPr>
            <w:tcW w:w="630" w:type="dxa"/>
            <w:vMerge w:val="continue"/>
            <w:tcBorders>
              <w:left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p>
        </w:tc>
        <w:tc>
          <w:tcPr>
            <w:tcW w:w="1037" w:type="dxa"/>
            <w:vMerge w:val="continue"/>
            <w:tcBorders>
              <w:left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p>
        </w:tc>
        <w:tc>
          <w:tcPr>
            <w:tcW w:w="2197" w:type="dxa"/>
            <w:tcBorders>
              <w:top w:val="single" w:color="auto" w:sz="6" w:space="0"/>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一种生物未通过生物学检验</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0.80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0.40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0.15</w:t>
            </w:r>
          </w:p>
        </w:tc>
      </w:tr>
      <w:tr>
        <w:tblPrEx>
          <w:tblCellMar>
            <w:top w:w="0" w:type="dxa"/>
            <w:left w:w="108" w:type="dxa"/>
            <w:bottom w:w="0" w:type="dxa"/>
            <w:right w:w="108" w:type="dxa"/>
          </w:tblCellMar>
        </w:tblPrEx>
        <w:trPr>
          <w:trHeight w:val="397" w:hRule="atLeast"/>
          <w:jc w:val="center"/>
        </w:trPr>
        <w:tc>
          <w:tcPr>
            <w:tcW w:w="630" w:type="dxa"/>
            <w:vMerge w:val="continue"/>
            <w:tcBorders>
              <w:left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p>
        </w:tc>
        <w:tc>
          <w:tcPr>
            <w:tcW w:w="1037" w:type="dxa"/>
            <w:vMerge w:val="continue"/>
            <w:tcBorders>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p>
        </w:tc>
        <w:tc>
          <w:tcPr>
            <w:tcW w:w="2197" w:type="dxa"/>
            <w:tcBorders>
              <w:top w:val="single" w:color="auto" w:sz="6" w:space="0"/>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两种或三种生物未通过生物学检验</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1.50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0.60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r>
      <w:tr>
        <w:tblPrEx>
          <w:tblCellMar>
            <w:top w:w="0" w:type="dxa"/>
            <w:left w:w="108" w:type="dxa"/>
            <w:bottom w:w="0" w:type="dxa"/>
            <w:right w:w="108" w:type="dxa"/>
          </w:tblCellMar>
        </w:tblPrEx>
        <w:trPr>
          <w:trHeight w:val="397" w:hRule="atLeast"/>
          <w:jc w:val="center"/>
        </w:trPr>
        <w:tc>
          <w:tcPr>
            <w:tcW w:w="630" w:type="dxa"/>
            <w:vMerge w:val="continue"/>
            <w:tcBorders>
              <w:left w:val="single" w:color="auto" w:sz="6" w:space="0"/>
              <w:right w:val="single" w:color="auto" w:sz="6" w:space="0"/>
            </w:tcBorders>
            <w:vAlign w:val="center"/>
          </w:tcPr>
          <w:p>
            <w:pPr>
              <w:ind w:left="-90"/>
              <w:rPr>
                <w:rFonts w:hint="default" w:ascii="Times New Roman" w:hAnsi="Times New Roman" w:eastAsia="仿宋_GB2312" w:cs="Times New Roman"/>
                <w:color w:val="auto"/>
                <w:kern w:val="0"/>
                <w:sz w:val="24"/>
                <w:szCs w:val="24"/>
              </w:rPr>
            </w:pPr>
          </w:p>
        </w:tc>
        <w:tc>
          <w:tcPr>
            <w:tcW w:w="1037" w:type="dxa"/>
            <w:vMerge w:val="restart"/>
            <w:tcBorders>
              <w:top w:val="single" w:color="auto" w:sz="6" w:space="0"/>
              <w:left w:val="single" w:color="auto" w:sz="6" w:space="0"/>
              <w:right w:val="single" w:color="auto" w:sz="6" w:space="0"/>
            </w:tcBorders>
            <w:vAlign w:val="center"/>
          </w:tcPr>
          <w:p>
            <w:pPr>
              <w:ind w:left="-9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污染</w:t>
            </w:r>
          </w:p>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疏浚物</w:t>
            </w:r>
          </w:p>
        </w:tc>
        <w:tc>
          <w:tcPr>
            <w:tcW w:w="2197" w:type="dxa"/>
            <w:tcBorders>
              <w:top w:val="single" w:color="auto" w:sz="6" w:space="0"/>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一种生物未通过生物学检验</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1.50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0.60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r>
      <w:tr>
        <w:tblPrEx>
          <w:tblCellMar>
            <w:top w:w="0" w:type="dxa"/>
            <w:left w:w="108" w:type="dxa"/>
            <w:bottom w:w="0" w:type="dxa"/>
            <w:right w:w="108" w:type="dxa"/>
          </w:tblCellMar>
        </w:tblPrEx>
        <w:trPr>
          <w:trHeight w:val="397" w:hRule="atLeast"/>
          <w:jc w:val="center"/>
        </w:trPr>
        <w:tc>
          <w:tcPr>
            <w:tcW w:w="630" w:type="dxa"/>
            <w:vMerge w:val="continue"/>
            <w:tcBorders>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kern w:val="0"/>
                <w:sz w:val="24"/>
                <w:szCs w:val="24"/>
              </w:rPr>
            </w:pPr>
          </w:p>
        </w:tc>
        <w:tc>
          <w:tcPr>
            <w:tcW w:w="1037" w:type="dxa"/>
            <w:vMerge w:val="continue"/>
            <w:tcBorders>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p>
        </w:tc>
        <w:tc>
          <w:tcPr>
            <w:tcW w:w="2197" w:type="dxa"/>
            <w:tcBorders>
              <w:top w:val="single" w:color="auto" w:sz="6" w:space="0"/>
              <w:left w:val="single" w:color="auto" w:sz="6" w:space="0"/>
              <w:bottom w:val="single" w:color="auto" w:sz="6" w:space="0"/>
              <w:right w:val="single" w:color="auto" w:sz="6" w:space="0"/>
            </w:tcBorders>
            <w:vAlign w:val="center"/>
          </w:tcPr>
          <w:p>
            <w:pPr>
              <w:ind w:left="-9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两种或三种生物末通过生物学检验</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3.00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1.00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城市阴沟淤泥</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6.00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渔业加工废料</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0.40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惰性无机地质材料</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0.50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0.10</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天然有机物</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0.40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0.10</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岛上建筑物料</w:t>
            </w:r>
          </w:p>
        </w:tc>
        <w:tc>
          <w:tcPr>
            <w:tcW w:w="1632"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0.40</w:t>
            </w:r>
          </w:p>
        </w:tc>
        <w:tc>
          <w:tcPr>
            <w:tcW w:w="1686"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0.20</w:t>
            </w:r>
          </w:p>
        </w:tc>
        <w:tc>
          <w:tcPr>
            <w:tcW w:w="1607" w:type="dxa"/>
            <w:tcBorders>
              <w:top w:val="single" w:color="auto" w:sz="6" w:space="0"/>
              <w:left w:val="single" w:color="auto" w:sz="6" w:space="0"/>
              <w:bottom w:val="single" w:color="auto" w:sz="6" w:space="0"/>
              <w:right w:val="single" w:color="auto" w:sz="6" w:space="0"/>
            </w:tcBorders>
            <w:vAlign w:val="center"/>
          </w:tcPr>
          <w:p>
            <w:pPr>
              <w:ind w:left="-9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0.10</w:t>
            </w:r>
          </w:p>
        </w:tc>
      </w:tr>
      <w:tr>
        <w:tblPrEx>
          <w:tblCellMar>
            <w:top w:w="0" w:type="dxa"/>
            <w:left w:w="108" w:type="dxa"/>
            <w:bottom w:w="0" w:type="dxa"/>
            <w:right w:w="108" w:type="dxa"/>
          </w:tblCellMar>
        </w:tblPrEx>
        <w:trPr>
          <w:trHeight w:val="397" w:hRule="atLeast"/>
          <w:jc w:val="center"/>
        </w:trPr>
        <w:tc>
          <w:tcPr>
            <w:tcW w:w="3864" w:type="dxa"/>
            <w:gridSpan w:val="3"/>
            <w:tcBorders>
              <w:top w:val="single" w:color="auto" w:sz="6" w:space="0"/>
              <w:left w:val="single" w:color="auto" w:sz="6" w:space="0"/>
              <w:bottom w:val="single" w:color="auto" w:sz="6" w:space="0"/>
              <w:right w:val="single" w:color="auto" w:sz="6" w:space="0"/>
            </w:tcBorders>
            <w:vAlign w:val="center"/>
          </w:tcPr>
          <w:p>
            <w:pPr>
              <w:ind w:left="-9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船舶、平台或其他海上人工构造物</w:t>
            </w:r>
          </w:p>
        </w:tc>
        <w:tc>
          <w:tcPr>
            <w:tcW w:w="4925" w:type="dxa"/>
            <w:gridSpan w:val="3"/>
            <w:tcBorders>
              <w:top w:val="single" w:color="auto" w:sz="6" w:space="0"/>
              <w:left w:val="single" w:color="auto" w:sz="6" w:space="0"/>
              <w:bottom w:val="single" w:color="auto" w:sz="6" w:space="0"/>
              <w:right w:val="single" w:color="auto" w:sz="6" w:space="0"/>
            </w:tcBorders>
            <w:vAlign w:val="top"/>
          </w:tcPr>
          <w:p>
            <w:pPr>
              <w:ind w:left="-9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国家海洋行政主管部门根据废弃物的性质、原地弃置或异地弃置、弃置区的环境敏感性、废弃物的体积、占海面积、倾倒前的拆解情况、是否采取有别于海洋弃置的其他有益处置方式等情况进行个案处理，一次性收费，收费标准报国务院价格主管部门、财政部门备案。</w:t>
            </w:r>
          </w:p>
        </w:tc>
      </w:tr>
    </w:tbl>
    <w:p>
      <w:pPr>
        <w:topLinePunct/>
        <w:ind w:firstLine="420" w:firstLineChars="200"/>
        <w:rPr>
          <w:rFonts w:ascii="Times New Roman" w:hAnsi="Times New Roman" w:eastAsia="楷体_GB2312"/>
          <w:color w:val="auto"/>
          <w:szCs w:val="21"/>
        </w:rPr>
      </w:pPr>
      <w:r>
        <w:rPr>
          <w:rFonts w:ascii="Times New Roman" w:hAnsi="Times New Roman" w:eastAsia="楷体_GB2312"/>
          <w:color w:val="auto"/>
          <w:szCs w:val="21"/>
        </w:rPr>
        <w:t>说明：</w:t>
      </w:r>
    </w:p>
    <w:p>
      <w:pPr>
        <w:topLinePunct/>
        <w:ind w:firstLine="420" w:firstLineChars="200"/>
        <w:rPr>
          <w:rFonts w:ascii="Times New Roman" w:hAnsi="Times New Roman" w:eastAsia="楷体_GB2312"/>
          <w:color w:val="auto"/>
          <w:szCs w:val="21"/>
        </w:rPr>
      </w:pPr>
      <w:r>
        <w:rPr>
          <w:rFonts w:ascii="Times New Roman" w:hAnsi="Times New Roman" w:eastAsia="楷体_GB2312"/>
          <w:color w:val="auto"/>
          <w:szCs w:val="21"/>
        </w:rPr>
        <w:t>一、倾倒地区与倾倒方式</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一</w:t>
      </w:r>
      <w:r>
        <w:rPr>
          <w:rFonts w:hint="eastAsia" w:ascii="Times New Roman" w:hAnsi="Times New Roman" w:eastAsia="楷体_GB2312"/>
          <w:color w:val="auto"/>
          <w:szCs w:val="21"/>
        </w:rPr>
        <w:t>）</w:t>
      </w:r>
      <w:r>
        <w:rPr>
          <w:rFonts w:ascii="Times New Roman" w:hAnsi="Times New Roman" w:eastAsia="楷体_GB2312"/>
          <w:color w:val="auto"/>
          <w:szCs w:val="21"/>
        </w:rPr>
        <w:t>近岸倾倒：指倾倒区距离海岸12海里以内。</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二</w:t>
      </w:r>
      <w:r>
        <w:rPr>
          <w:rFonts w:hint="eastAsia" w:ascii="Times New Roman" w:hAnsi="Times New Roman" w:eastAsia="楷体_GB2312"/>
          <w:color w:val="auto"/>
          <w:szCs w:val="21"/>
        </w:rPr>
        <w:t>）</w:t>
      </w:r>
      <w:r>
        <w:rPr>
          <w:rFonts w:ascii="Times New Roman" w:hAnsi="Times New Roman" w:eastAsia="楷体_GB2312"/>
          <w:color w:val="auto"/>
          <w:szCs w:val="21"/>
        </w:rPr>
        <w:t>远海倾倒：指倾倒区距离海岸12海里以外。</w:t>
      </w:r>
    </w:p>
    <w:p>
      <w:pPr>
        <w:topLinePunct/>
        <w:ind w:firstLine="420" w:firstLineChars="200"/>
        <w:rPr>
          <w:rFonts w:hint="eastAsia"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三</w:t>
      </w:r>
      <w:r>
        <w:rPr>
          <w:rFonts w:hint="eastAsia" w:ascii="Times New Roman" w:hAnsi="Times New Roman" w:eastAsia="楷体_GB2312"/>
          <w:color w:val="auto"/>
          <w:szCs w:val="21"/>
        </w:rPr>
        <w:t>）</w:t>
      </w:r>
      <w:r>
        <w:rPr>
          <w:rFonts w:ascii="Times New Roman" w:hAnsi="Times New Roman" w:eastAsia="楷体_GB2312"/>
          <w:color w:val="auto"/>
          <w:szCs w:val="21"/>
        </w:rPr>
        <w:t>有益处置：指将废弃物作为海滩及养殖海底培育、营造生物栖息地、岸线维护或加固、美化景观、海上建坝等海洋工程原材料而进行的海洋处置方式</w:t>
      </w:r>
      <w:r>
        <w:rPr>
          <w:rFonts w:hint="eastAsia" w:ascii="Times New Roman" w:hAnsi="Times New Roman" w:eastAsia="楷体_GB2312"/>
          <w:color w:val="auto"/>
          <w:szCs w:val="21"/>
        </w:rPr>
        <w:t>。</w:t>
      </w:r>
    </w:p>
    <w:p>
      <w:pPr>
        <w:topLinePunct/>
        <w:ind w:firstLine="420" w:firstLineChars="200"/>
        <w:rPr>
          <w:rFonts w:ascii="Times New Roman" w:hAnsi="Times New Roman" w:eastAsia="楷体_GB2312"/>
          <w:color w:val="auto"/>
          <w:szCs w:val="21"/>
        </w:rPr>
      </w:pPr>
      <w:r>
        <w:rPr>
          <w:rFonts w:ascii="Times New Roman" w:hAnsi="Times New Roman" w:eastAsia="楷体_GB2312"/>
          <w:color w:val="auto"/>
          <w:szCs w:val="21"/>
        </w:rPr>
        <w:t>二、废弃物种类</w:t>
      </w:r>
    </w:p>
    <w:p>
      <w:pPr>
        <w:topLinePunct/>
        <w:ind w:firstLine="420" w:firstLineChars="200"/>
        <w:rPr>
          <w:rFonts w:ascii="Times New Roman" w:hAnsi="Times New Roman" w:eastAsia="楷体_GB2312"/>
          <w:color w:val="auto"/>
          <w:szCs w:val="21"/>
        </w:rPr>
      </w:pPr>
      <w:r>
        <w:rPr>
          <w:rFonts w:ascii="Times New Roman" w:hAnsi="Times New Roman" w:eastAsia="楷体_GB2312"/>
          <w:color w:val="auto"/>
          <w:szCs w:val="21"/>
        </w:rPr>
        <w:t>按有关规定，可以在海上倾倒的废弃物包括七大类，具体是：</w:t>
      </w:r>
    </w:p>
    <w:p>
      <w:pPr>
        <w:topLinePunct/>
        <w:ind w:firstLine="420" w:firstLineChars="200"/>
        <w:rPr>
          <w:rFonts w:hint="eastAsia"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一</w:t>
      </w:r>
      <w:r>
        <w:rPr>
          <w:rFonts w:hint="eastAsia" w:ascii="Times New Roman" w:hAnsi="Times New Roman" w:eastAsia="楷体_GB2312"/>
          <w:color w:val="auto"/>
          <w:szCs w:val="21"/>
        </w:rPr>
        <w:t>）</w:t>
      </w:r>
      <w:r>
        <w:rPr>
          <w:rFonts w:ascii="Times New Roman" w:hAnsi="Times New Roman" w:eastAsia="楷体_GB2312"/>
          <w:color w:val="auto"/>
          <w:szCs w:val="21"/>
        </w:rPr>
        <w:t>疏浚物：从水下挖掘出的沉积物，包括淤积的、河流冲刷形成的或自然沉积的沉淀物。依据疏浚物海洋倾倒分类标准，按照疏浚物的特性、污染物含量水平及其对海洋环境的影响程度，疏浚物分为三类：清洁疏浚物、沾污琉浚物和污染疏浚物</w:t>
      </w:r>
      <w:r>
        <w:rPr>
          <w:rFonts w:hint="eastAsia" w:ascii="Times New Roman" w:hAnsi="Times New Roman" w:eastAsia="楷体_GB2312"/>
          <w:color w:val="auto"/>
          <w:szCs w:val="21"/>
        </w:rPr>
        <w:t>。</w:t>
      </w:r>
      <w:r>
        <w:rPr>
          <w:rFonts w:ascii="Times New Roman" w:hAnsi="Times New Roman" w:eastAsia="楷体_GB2312"/>
          <w:color w:val="auto"/>
          <w:szCs w:val="21"/>
        </w:rPr>
        <w:t>沾污疏浚物和污染疏浚物必须进行生物学检验，并进行适当处理后方可在海上倾倒</w:t>
      </w:r>
      <w:r>
        <w:rPr>
          <w:rFonts w:hint="eastAsia" w:ascii="Times New Roman" w:hAnsi="Times New Roman" w:eastAsia="楷体_GB2312"/>
          <w:color w:val="auto"/>
          <w:szCs w:val="21"/>
        </w:rPr>
        <w:t>。</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二</w:t>
      </w:r>
      <w:r>
        <w:rPr>
          <w:rFonts w:hint="eastAsia" w:ascii="Times New Roman" w:hAnsi="Times New Roman" w:eastAsia="楷体_GB2312"/>
          <w:color w:val="auto"/>
          <w:szCs w:val="21"/>
        </w:rPr>
        <w:t>）</w:t>
      </w:r>
      <w:r>
        <w:rPr>
          <w:rFonts w:ascii="Times New Roman" w:hAnsi="Times New Roman" w:eastAsia="楷体_GB2312"/>
          <w:color w:val="auto"/>
          <w:szCs w:val="21"/>
        </w:rPr>
        <w:t>城市阴沟淤泥：市政污水处理后残余的富含有机物的废物，主要由物理过程产生。</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三</w:t>
      </w:r>
      <w:r>
        <w:rPr>
          <w:rFonts w:hint="eastAsia" w:ascii="Times New Roman" w:hAnsi="Times New Roman" w:eastAsia="楷体_GB2312"/>
          <w:color w:val="auto"/>
          <w:szCs w:val="21"/>
        </w:rPr>
        <w:t>）</w:t>
      </w:r>
      <w:r>
        <w:rPr>
          <w:rFonts w:ascii="Times New Roman" w:hAnsi="Times New Roman" w:eastAsia="楷体_GB2312"/>
          <w:color w:val="auto"/>
          <w:szCs w:val="21"/>
        </w:rPr>
        <w:t>渔业加工废料：由远洋捕捞、水产养殖等渔业加工过程所产生的含有水产品肉、皮、骨、内脏，外壳或鱼粉残液等废物。</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四</w:t>
      </w:r>
      <w:r>
        <w:rPr>
          <w:rFonts w:hint="eastAsia" w:ascii="Times New Roman" w:hAnsi="Times New Roman" w:eastAsia="楷体_GB2312"/>
          <w:color w:val="auto"/>
          <w:szCs w:val="21"/>
        </w:rPr>
        <w:t>）</w:t>
      </w:r>
      <w:r>
        <w:rPr>
          <w:rFonts w:ascii="Times New Roman" w:hAnsi="Times New Roman" w:eastAsia="楷体_GB2312"/>
          <w:color w:val="auto"/>
          <w:szCs w:val="21"/>
        </w:rPr>
        <w:t>惰性无机地质材料：矿物开采或工程建设产生的来源于自然界的无机废弃物</w:t>
      </w:r>
      <w:r>
        <w:rPr>
          <w:rFonts w:hint="eastAsia" w:ascii="Times New Roman" w:hAnsi="Times New Roman" w:eastAsia="楷体_GB2312"/>
          <w:color w:val="auto"/>
          <w:szCs w:val="21"/>
        </w:rPr>
        <w:t>。</w:t>
      </w:r>
      <w:r>
        <w:rPr>
          <w:rFonts w:ascii="Times New Roman" w:hAnsi="Times New Roman" w:eastAsia="楷体_GB2312"/>
          <w:color w:val="auto"/>
          <w:szCs w:val="21"/>
        </w:rPr>
        <w:t>主要成分为岩石、砂石和泥土等，不得含有海泥、塘泥、家居垃圾，塑胶、金属、沥青、工业和化工废料、木材和动植物残体。</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五</w:t>
      </w:r>
      <w:r>
        <w:rPr>
          <w:rFonts w:hint="eastAsia" w:ascii="Times New Roman" w:hAnsi="Times New Roman" w:eastAsia="楷体_GB2312"/>
          <w:color w:val="auto"/>
          <w:szCs w:val="21"/>
        </w:rPr>
        <w:t>）</w:t>
      </w:r>
      <w:r>
        <w:rPr>
          <w:rFonts w:ascii="Times New Roman" w:hAnsi="Times New Roman" w:eastAsia="楷体_GB2312"/>
          <w:color w:val="auto"/>
          <w:szCs w:val="21"/>
        </w:rPr>
        <w:t>天然有机物：源于农业产出的动植物。</w:t>
      </w:r>
    </w:p>
    <w:p>
      <w:pPr>
        <w:topLinePunct/>
        <w:ind w:firstLine="420" w:firstLineChars="200"/>
        <w:rPr>
          <w:rFonts w:hint="eastAsia"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六</w:t>
      </w:r>
      <w:r>
        <w:rPr>
          <w:rFonts w:hint="eastAsia" w:ascii="Times New Roman" w:hAnsi="Times New Roman" w:eastAsia="楷体_GB2312"/>
          <w:color w:val="auto"/>
          <w:szCs w:val="21"/>
        </w:rPr>
        <w:t>）</w:t>
      </w:r>
      <w:r>
        <w:rPr>
          <w:rFonts w:ascii="Times New Roman" w:hAnsi="Times New Roman" w:eastAsia="楷体_GB2312"/>
          <w:color w:val="auto"/>
          <w:szCs w:val="21"/>
        </w:rPr>
        <w:t>岛上建筑物料：远离大陆的岛屿产生的包括铁、钢、混凝土和只会产生物理影响的无害物质</w:t>
      </w:r>
      <w:r>
        <w:rPr>
          <w:rFonts w:hint="eastAsia" w:ascii="Times New Roman" w:hAnsi="Times New Roman" w:eastAsia="楷体_GB2312"/>
          <w:color w:val="auto"/>
          <w:szCs w:val="21"/>
        </w:rPr>
        <w:t>。</w:t>
      </w:r>
    </w:p>
    <w:p>
      <w:pPr>
        <w:topLinePunct/>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w:t>
      </w:r>
      <w:r>
        <w:rPr>
          <w:rFonts w:ascii="Times New Roman" w:hAnsi="Times New Roman" w:eastAsia="楷体_GB2312"/>
          <w:color w:val="auto"/>
          <w:szCs w:val="21"/>
        </w:rPr>
        <w:t>七</w:t>
      </w:r>
      <w:r>
        <w:rPr>
          <w:rFonts w:hint="eastAsia" w:ascii="Times New Roman" w:hAnsi="Times New Roman" w:eastAsia="楷体_GB2312"/>
          <w:color w:val="auto"/>
          <w:szCs w:val="21"/>
        </w:rPr>
        <w:t>）</w:t>
      </w:r>
      <w:r>
        <w:rPr>
          <w:rFonts w:ascii="Times New Roman" w:hAnsi="Times New Roman" w:eastAsia="楷体_GB2312"/>
          <w:color w:val="auto"/>
          <w:szCs w:val="21"/>
        </w:rPr>
        <w:t>船舶、平台：船舶是指任何形式的水上航行工具。平台是为生产、加工矿物资源开采设计并制造的装置。</w:t>
      </w:r>
    </w:p>
    <w:p>
      <w:pPr>
        <w:topLinePunct/>
        <w:ind w:firstLine="420" w:firstLineChars="200"/>
        <w:rPr>
          <w:rFonts w:ascii="Times New Roman" w:hAnsi="Times New Roman" w:eastAsia="楷体_GB2312"/>
          <w:color w:val="auto"/>
          <w:szCs w:val="21"/>
        </w:rPr>
      </w:pPr>
      <w:r>
        <w:rPr>
          <w:rFonts w:ascii="Times New Roman" w:hAnsi="Times New Roman" w:eastAsia="楷体_GB2312"/>
          <w:color w:val="auto"/>
          <w:szCs w:val="21"/>
        </w:rPr>
        <w:t>三、疏浚物倾倒量的核定方法</w:t>
      </w:r>
    </w:p>
    <w:p>
      <w:pPr>
        <w:topLinePunct/>
        <w:ind w:firstLine="420" w:firstLineChars="200"/>
        <w:rPr>
          <w:rFonts w:hint="eastAsia" w:ascii="Times New Roman" w:hAnsi="Times New Roman" w:eastAsia="楷体_GB2312"/>
          <w:color w:val="auto"/>
          <w:szCs w:val="21"/>
        </w:rPr>
      </w:pPr>
      <w:r>
        <w:rPr>
          <w:rFonts w:ascii="Times New Roman" w:hAnsi="Times New Roman" w:eastAsia="楷体_GB2312"/>
          <w:color w:val="auto"/>
          <w:szCs w:val="21"/>
        </w:rPr>
        <w:t>由海洋主管部门按疏浚工程水下实际基建开挖量进行核定</w:t>
      </w:r>
      <w:r>
        <w:rPr>
          <w:rFonts w:hint="eastAsia" w:ascii="Times New Roman" w:hAnsi="Times New Roman" w:eastAsia="楷体_GB2312"/>
          <w:color w:val="auto"/>
          <w:szCs w:val="21"/>
        </w:rPr>
        <w:t>。</w:t>
      </w: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Style w:val="17"/>
          <w:rFonts w:hint="eastAsia" w:ascii="仿宋_GB2312" w:hAnsi="仿宋_GB2312" w:eastAsia="仿宋_GB2312" w:cs="仿宋_GB2312"/>
          <w:color w:val="auto"/>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4112" o:spid="_x0000_s4112"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8"/>
      <w:wordWrap w:val="0"/>
      <w:ind w:left="2692" w:leftChars="1282" w:firstLine="8492" w:firstLineChars="2654"/>
      <w:jc w:val="right"/>
      <w:rPr>
        <w:rFonts w:ascii="宋体" w:hAnsi="宋体" w:eastAsia="宋体" w:cs="宋体"/>
        <w:b/>
        <w:bCs/>
        <w:color w:val="005192"/>
        <w:sz w:val="28"/>
        <w:szCs w:val="44"/>
      </w:rPr>
    </w:pPr>
    <w:r>
      <w:rPr>
        <w:color w:val="FAFAFA"/>
        <w:sz w:val="32"/>
      </w:rPr>
      <w:pict>
        <v:line id="_x0000_s4113" o:spid="_x0000_s4113" o:spt="20" style="position:absolute;left:0pt;flip:y;margin-left:-0.05pt;margin-top:4.8pt;height:0.5pt;width:440.65pt;z-index:251660288;mso-width-relative:page;mso-height-relative:page;" filled="f" stroked="t" coordsize="21600,21600">
          <v:path arrowok="t"/>
          <v:fill on="f" focussize="0,0"/>
          <v:stroke weight="1.75pt" color="#005192" joinstyle="miter"/>
          <v:imagedata o:title=""/>
          <o:lock v:ext="edit" aspectratio="f"/>
        </v:line>
      </w:pict>
    </w:r>
    <w:r>
      <w:rPr>
        <w:rFonts w:hint="eastAsia" w:eastAsia="仿宋"/>
        <w:color w:val="FAFAFA"/>
        <w:sz w:val="32"/>
        <w:szCs w:val="48"/>
      </w:rPr>
      <w:t>X</w:t>
    </w:r>
    <w:r>
      <w:rPr>
        <w:rFonts w:hint="eastAsia" w:eastAsia="仿宋"/>
        <w:color w:val="FAFAFA"/>
        <w:sz w:val="32"/>
        <w:szCs w:val="48"/>
        <w:lang w:val="en-US" w:eastAsia="zh-CN"/>
      </w:rPr>
      <w:t xml:space="preserve">         </w:t>
    </w:r>
    <w:r>
      <w:rPr>
        <w:rFonts w:hint="eastAsia" w:ascii="宋体" w:hAnsi="宋体" w:eastAsia="宋体" w:cs="宋体"/>
        <w:b/>
        <w:bCs/>
        <w:color w:val="005192"/>
        <w:sz w:val="28"/>
        <w:szCs w:val="28"/>
      </w:rPr>
      <w:t xml:space="preserve">国家发展和改革委员会发布 </w:t>
    </w:r>
    <w:r>
      <w:rPr>
        <w:rFonts w:hint="eastAsia" w:ascii="宋体" w:hAnsi="宋体" w:eastAsia="宋体" w:cs="宋体"/>
        <w:b/>
        <w:bCs/>
        <w:color w:val="005192"/>
        <w:sz w:val="28"/>
        <w:szCs w:val="44"/>
      </w:rPr>
      <w:t xml:space="preserve">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p>
  <w:p>
    <w:pPr>
      <w:pStyle w:val="8"/>
      <w:textAlignment w:val="center"/>
      <w:rPr>
        <w:rFonts w:ascii="宋体" w:hAnsi="宋体" w:eastAsia="宋体" w:cs="宋体"/>
        <w:b/>
        <w:bCs/>
        <w:color w:val="005192"/>
        <w:sz w:val="32"/>
        <w:szCs w:val="32"/>
      </w:rPr>
    </w:pPr>
    <w:r>
      <w:rPr>
        <w:rFonts w:ascii="宋体" w:hAnsi="宋体" w:eastAsia="宋体" w:cs="宋体"/>
        <w:b/>
        <w:bCs/>
        <w:color w:val="005192"/>
        <w:sz w:val="32"/>
      </w:rPr>
      <w:pict>
        <v:line id="_x0000_s4107" o:spid="_x0000_s4107" o:spt="20" style="position:absolute;left:0pt;margin-left:0.15pt;margin-top:33.55pt;height:0.05pt;width:440.2pt;z-index:251659264;mso-width-relative:page;mso-height-relative:page;" filled="f" stroked="t" coordsize="21600,21600">
          <v:path arrowok="t"/>
          <v:fill on="f" focussize="0,0"/>
          <v:stroke weight="1.75pt" color="#005192" joinstyle="miter"/>
          <v:imagedata o:title=""/>
          <o:lock v:ext="edit" aspectratio="f"/>
        </v:line>
      </w:pict>
    </w: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yMTIwYjA3ZjI4MzNiMWZlNDZmYzEzYjcxM2VlZDc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77503"/>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80F63D8"/>
    <w:rsid w:val="09341458"/>
    <w:rsid w:val="0B0912D7"/>
    <w:rsid w:val="13BB68C2"/>
    <w:rsid w:val="152D2DCA"/>
    <w:rsid w:val="1D79FEE5"/>
    <w:rsid w:val="1DEC284C"/>
    <w:rsid w:val="1DFFD3B0"/>
    <w:rsid w:val="1E1F26B4"/>
    <w:rsid w:val="1E6523AC"/>
    <w:rsid w:val="22440422"/>
    <w:rsid w:val="257B739E"/>
    <w:rsid w:val="26FEC946"/>
    <w:rsid w:val="2AFBB257"/>
    <w:rsid w:val="31A15F24"/>
    <w:rsid w:val="36EF61B4"/>
    <w:rsid w:val="37364D74"/>
    <w:rsid w:val="3777412D"/>
    <w:rsid w:val="37BF8149"/>
    <w:rsid w:val="382361BE"/>
    <w:rsid w:val="395347B5"/>
    <w:rsid w:val="39A232A0"/>
    <w:rsid w:val="39E745AA"/>
    <w:rsid w:val="3B5A6BBB"/>
    <w:rsid w:val="3B9BACC3"/>
    <w:rsid w:val="3CAF319B"/>
    <w:rsid w:val="3D56BFB0"/>
    <w:rsid w:val="3EDA13A6"/>
    <w:rsid w:val="3EEEC5B6"/>
    <w:rsid w:val="3FDF0A61"/>
    <w:rsid w:val="3FEE818D"/>
    <w:rsid w:val="3FEF95AD"/>
    <w:rsid w:val="3FF37610"/>
    <w:rsid w:val="42F058B7"/>
    <w:rsid w:val="436109F6"/>
    <w:rsid w:val="441A38D4"/>
    <w:rsid w:val="4BC77339"/>
    <w:rsid w:val="4C9236C5"/>
    <w:rsid w:val="4E37170D"/>
    <w:rsid w:val="505C172E"/>
    <w:rsid w:val="52F46F0B"/>
    <w:rsid w:val="53D8014D"/>
    <w:rsid w:val="55E064E0"/>
    <w:rsid w:val="572C6D10"/>
    <w:rsid w:val="59BFCD62"/>
    <w:rsid w:val="5DC34279"/>
    <w:rsid w:val="5DDEAD09"/>
    <w:rsid w:val="5EEB0BAA"/>
    <w:rsid w:val="5FF48FE4"/>
    <w:rsid w:val="5FFD900E"/>
    <w:rsid w:val="5FFFB835"/>
    <w:rsid w:val="608816D1"/>
    <w:rsid w:val="60EF4E7F"/>
    <w:rsid w:val="63DBD17A"/>
    <w:rsid w:val="63F74823"/>
    <w:rsid w:val="665233C1"/>
    <w:rsid w:val="69FE47F1"/>
    <w:rsid w:val="69FF6523"/>
    <w:rsid w:val="6AD9688B"/>
    <w:rsid w:val="6D0E3F22"/>
    <w:rsid w:val="6DD662C6"/>
    <w:rsid w:val="6DFF5D47"/>
    <w:rsid w:val="6E4BD497"/>
    <w:rsid w:val="6E57558B"/>
    <w:rsid w:val="6E6F1360"/>
    <w:rsid w:val="6EDB27D2"/>
    <w:rsid w:val="6EF50787"/>
    <w:rsid w:val="6FAF93D9"/>
    <w:rsid w:val="6FCAC0E3"/>
    <w:rsid w:val="73B74E7D"/>
    <w:rsid w:val="73DB3FB6"/>
    <w:rsid w:val="75EF3CFE"/>
    <w:rsid w:val="7657B72D"/>
    <w:rsid w:val="769A5AC0"/>
    <w:rsid w:val="76EBA823"/>
    <w:rsid w:val="76EF56F8"/>
    <w:rsid w:val="76F6D460"/>
    <w:rsid w:val="77F7D65C"/>
    <w:rsid w:val="77F9DEEA"/>
    <w:rsid w:val="77FE95BF"/>
    <w:rsid w:val="77FEE41B"/>
    <w:rsid w:val="7B7FD0E2"/>
    <w:rsid w:val="7BB744FE"/>
    <w:rsid w:val="7BFF976B"/>
    <w:rsid w:val="7C9011D9"/>
    <w:rsid w:val="7CC9EBFC"/>
    <w:rsid w:val="7CCFDC46"/>
    <w:rsid w:val="7CF8E60E"/>
    <w:rsid w:val="7CFDD709"/>
    <w:rsid w:val="7DBF5F1C"/>
    <w:rsid w:val="7DC651C5"/>
    <w:rsid w:val="7DCD1D84"/>
    <w:rsid w:val="7EDD52E5"/>
    <w:rsid w:val="7F9B7DCA"/>
    <w:rsid w:val="7FB59AD3"/>
    <w:rsid w:val="7FB70510"/>
    <w:rsid w:val="7FCC2834"/>
    <w:rsid w:val="7FF69EF2"/>
    <w:rsid w:val="7FF75C52"/>
    <w:rsid w:val="7FF7AFA3"/>
    <w:rsid w:val="7FFBBA23"/>
    <w:rsid w:val="7FFBE85A"/>
    <w:rsid w:val="7FFC0166"/>
    <w:rsid w:val="7FFF4527"/>
    <w:rsid w:val="9737C219"/>
    <w:rsid w:val="9BDE724C"/>
    <w:rsid w:val="9CDF09A8"/>
    <w:rsid w:val="9CEFEF5F"/>
    <w:rsid w:val="9FFD0A1D"/>
    <w:rsid w:val="ABBEB07F"/>
    <w:rsid w:val="AEEBB4BD"/>
    <w:rsid w:val="AF1D6AFE"/>
    <w:rsid w:val="B75243C3"/>
    <w:rsid w:val="B796EEC2"/>
    <w:rsid w:val="BEFDB996"/>
    <w:rsid w:val="BEFE76AC"/>
    <w:rsid w:val="BF9F9B25"/>
    <w:rsid w:val="BFB72698"/>
    <w:rsid w:val="BFFF0B72"/>
    <w:rsid w:val="C6BFC915"/>
    <w:rsid w:val="CB73FA05"/>
    <w:rsid w:val="CDFB483C"/>
    <w:rsid w:val="D66B7BD5"/>
    <w:rsid w:val="DBBD6915"/>
    <w:rsid w:val="DBEC99BB"/>
    <w:rsid w:val="DD3F18A6"/>
    <w:rsid w:val="DDFF36BC"/>
    <w:rsid w:val="DF58E9C2"/>
    <w:rsid w:val="DFBB3F54"/>
    <w:rsid w:val="DFBFB87D"/>
    <w:rsid w:val="DFF70CFB"/>
    <w:rsid w:val="DFF7BCA4"/>
    <w:rsid w:val="E6FF1D16"/>
    <w:rsid w:val="E757F521"/>
    <w:rsid w:val="E9979D04"/>
    <w:rsid w:val="E9FF1E01"/>
    <w:rsid w:val="EA77972B"/>
    <w:rsid w:val="EB7E0FD9"/>
    <w:rsid w:val="EBFF167B"/>
    <w:rsid w:val="ED968120"/>
    <w:rsid w:val="EF7E3AFA"/>
    <w:rsid w:val="EFC1A117"/>
    <w:rsid w:val="EFE97088"/>
    <w:rsid w:val="EFEF4D7A"/>
    <w:rsid w:val="EFFFF286"/>
    <w:rsid w:val="F56D8D09"/>
    <w:rsid w:val="F79FC949"/>
    <w:rsid w:val="F7EB1162"/>
    <w:rsid w:val="FBBC7E03"/>
    <w:rsid w:val="FBEFA356"/>
    <w:rsid w:val="FBFEFA7B"/>
    <w:rsid w:val="FDE99ED0"/>
    <w:rsid w:val="FEBDBEE2"/>
    <w:rsid w:val="FEBF598D"/>
    <w:rsid w:val="FF0BED77"/>
    <w:rsid w:val="FF2FFB9B"/>
    <w:rsid w:val="FF57B57D"/>
    <w:rsid w:val="FFBF770C"/>
    <w:rsid w:val="FFCFF806"/>
    <w:rsid w:val="FFFEABF9"/>
    <w:rsid w:val="FFFEAC92"/>
    <w:rsid w:val="FFFF9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1"/>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unhideWhenUsed/>
    <w:qFormat/>
    <w:uiPriority w:val="99"/>
    <w:pPr>
      <w:spacing w:line="360" w:lineRule="auto"/>
    </w:pPr>
    <w:rPr>
      <w:rFonts w:ascii="宋体" w:hAnsi="宋体"/>
      <w:kern w:val="0"/>
      <w:sz w:val="20"/>
      <w:szCs w:val="24"/>
    </w:rPr>
  </w:style>
  <w:style w:type="paragraph" w:styleId="5">
    <w:name w:val="Plain Text"/>
    <w:basedOn w:val="1"/>
    <w:qFormat/>
    <w:uiPriority w:val="0"/>
    <w:rPr>
      <w:rFonts w:ascii="方正书宋_GBK" w:hAnsi="DejaVu Sans"/>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19">
    <w:name w:val="批注文字 Char"/>
    <w:basedOn w:val="14"/>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1"/>
    <w:qFormat/>
    <w:uiPriority w:val="0"/>
  </w:style>
  <w:style w:type="character" w:customStyle="1" w:styleId="21">
    <w:name w:val="标题 3 Char"/>
    <w:link w:val="2"/>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7"/>
    <customShpInfo spid="_x0000_s4112"/>
    <customShpInfo spid="_x0000_s4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1476</Words>
  <Characters>1585</Characters>
  <Lines>6</Lines>
  <Paragraphs>1</Paragraphs>
  <TotalTime>1</TotalTime>
  <ScaleCrop>false</ScaleCrop>
  <LinksUpToDate>false</LinksUpToDate>
  <CharactersWithSpaces>1718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2022-09-28T18:23:00Z</dcterms:created>
  <dc:creator>t</dc:creator>
  <cp:lastModifiedBy>Beta</cp:lastModifiedBy>
  <cp:lastPrinted>2022-09-28T17:07:00Z</cp:lastPrinted>
  <dcterms:modified xsi:type="dcterms:W3CDTF">2022-11-11T07:47:35Z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48C61CB29D3F4D9384F5922CF0F7FFB4</vt:lpwstr>
  </property>
</Properties>
</file>